
<file path=[Content_Types].xml><?xml version="1.0" encoding="utf-8"?>
<Types xmlns="http://schemas.openxmlformats.org/package/2006/content-types">
  <Override PartName="/word/media/image2.png" ContentType="image/png"/>
  <Override PartName="/word/media/image1.png" ContentType="image/png"/>
  <Override PartName="/word/media/image3.png" ContentType="image/png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1"/>
        <w:jc w:val="center"/>
        <w:spacing w:after="60" w:before="240"/>
      </w:pPr>
      <w:r>
        <w:rPr>
          <w:sz w:val="24"/>
          <w:szCs w:val="24"/>
        </w:rPr>
        <w:t>МУНИЦИПАЛЬНЫЙ КОНТРАКТ №</w:t>
      </w:r>
    </w:p>
    <w:p>
      <w:pPr>
        <w:pStyle w:val="style30"/>
        <w:jc w:val="both"/>
        <w:spacing w:line="100" w:lineRule="atLeast"/>
      </w:pPr>
      <w:r>
        <w:rPr>
          <w:sz w:val="24"/>
          <w:rFonts w:ascii="Times New Roman" w:cs="Times New Roman" w:hAnsi="Times New Roman"/>
        </w:rPr>
        <w:t>Воронежская область,</w:t>
      </w:r>
    </w:p>
    <w:p>
      <w:pPr>
        <w:pStyle w:val="style30"/>
        <w:jc w:val="both"/>
        <w:spacing w:line="100" w:lineRule="atLeast"/>
      </w:pPr>
      <w:r>
        <w:rPr>
          <w:sz w:val="24"/>
          <w:rFonts w:ascii="Times New Roman" w:cs="Times New Roman" w:hAnsi="Times New Roman"/>
        </w:rPr>
        <w:t xml:space="preserve">Верхнехавский район </w:t>
      </w:r>
    </w:p>
    <w:p>
      <w:pPr>
        <w:pStyle w:val="style30"/>
        <w:jc w:val="right"/>
        <w:spacing w:line="100" w:lineRule="atLeast"/>
      </w:pPr>
      <w:r>
        <w:rPr>
          <w:sz w:val="24"/>
          <w:rFonts w:ascii="Times New Roman" w:cs="Times New Roman" w:hAnsi="Times New Roman"/>
        </w:rPr>
        <w:t xml:space="preserve">с. Правая Хава  </w:t>
        <w:tab/>
        <w:tab/>
        <w:tab/>
        <w:tab/>
        <w:tab/>
        <w:t xml:space="preserve">                     « ___ » __________ 2019 г.</w:t>
      </w:r>
    </w:p>
    <w:p>
      <w:pPr>
        <w:pStyle w:val="style30"/>
        <w:jc w:val="both"/>
      </w:pPr>
      <w:r>
        <w:rPr>
          <w:sz w:val="24"/>
          <w:rFonts w:ascii="Times New Roman" w:cs="Times New Roman" w:hAnsi="Times New Roman"/>
        </w:rPr>
        <w:t xml:space="preserve">   </w:t>
      </w:r>
      <w:r>
        <w:rPr>
          <w:color w:val="000000"/>
          <w:sz w:val="24"/>
          <w:rFonts w:ascii="Times New Roman" w:hAnsi="Times New Roman"/>
        </w:rPr>
        <w:t>Общество с ограниченной ответственностью «Лаборатория диагностики и развития социальных систем», именуемое в дальнейшем «Исполнитель», в лице генерального директора Барсуковой Диляры Фаргатовны, действующей на основании Устава,</w:t>
      </w:r>
      <w:r>
        <w:rPr>
          <w:sz w:val="24"/>
          <w:rFonts w:ascii="Times New Roman" w:hAnsi="Times New Roman"/>
        </w:rPr>
        <w:t xml:space="preserve"> и администрация Правохавского сельского поселения Верхнехавского муниципального района Воронежской области, именуемое в дальнейшем «Заказчик», в лице </w:t>
      </w:r>
      <w:bookmarkStart w:id="0" w:name="DDE_LINK"/>
      <w:r>
        <w:rPr>
          <w:sz w:val="24"/>
          <w:rFonts w:ascii="Times New Roman" w:hAnsi="Times New Roman"/>
        </w:rPr>
        <w:t>главы администрации Правохавского сельского поселения</w:t>
      </w:r>
      <w:bookmarkEnd w:id="0"/>
      <w:r>
        <w:rPr>
          <w:sz w:val="24"/>
          <w:rFonts w:ascii="Times New Roman" w:hAnsi="Times New Roman"/>
        </w:rPr>
        <w:t xml:space="preserve"> Дудченко Андрея Петровича, действующего на основании «Устава» с другой стороны, вместе именуемые «Стороны» и каждый в отдельности «Сторона», с соблюдением требований Гражданского </w:t>
      </w:r>
      <w:hyperlink r:id="rId2">
        <w:r>
          <w:rPr>
            <w:sz w:val="24"/>
            <w:rStyle w:val="style22"/>
            <w:rFonts w:ascii="Times New Roman" w:hAnsi="Times New Roman"/>
          </w:rPr>
          <w:t>кодекса</w:t>
        </w:r>
      </w:hyperlink>
      <w:r>
        <w:rPr>
          <w:sz w:val="24"/>
          <w:rFonts w:ascii="Times New Roman" w:hAnsi="Times New Roman"/>
        </w:rPr>
        <w:t xml:space="preserve"> Российской Федерации, п. 5 ч. 1 ст.93 Федерального </w:t>
      </w:r>
      <w:hyperlink r:id="rId3">
        <w:r>
          <w:rPr>
            <w:sz w:val="24"/>
            <w:rStyle w:val="style22"/>
            <w:rFonts w:ascii="Times New Roman" w:hAnsi="Times New Roman"/>
          </w:rPr>
          <w:t>закона</w:t>
        </w:r>
      </w:hyperlink>
      <w:r>
        <w:rPr>
          <w:sz w:val="24"/>
          <w:rFonts w:ascii="Times New Roman" w:hAnsi="Times New Roman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закон), заключили настоящий муниципальный контракт  (далее – Контракт) о нижеследующем:</w:t>
      </w:r>
    </w:p>
    <w:p>
      <w:pPr>
        <w:pStyle w:val="style33"/>
        <w:numPr>
          <w:ilvl w:val="0"/>
          <w:numId w:val="3"/>
        </w:numPr>
        <w:jc w:val="center"/>
        <w:tabs>
          <w:tab w:leader="none" w:pos="284" w:val="left"/>
          <w:tab w:leader="none" w:pos="709" w:val="left"/>
        </w:tabs>
        <w:ind w:hanging="0" w:left="0" w:right="0"/>
      </w:pPr>
      <w:r>
        <w:rPr>
          <w:sz w:val="24"/>
          <w:b/>
        </w:rPr>
        <w:t>Предмет Контракта</w:t>
      </w:r>
    </w:p>
    <w:p>
      <w:pPr>
        <w:pStyle w:val="style0"/>
        <w:jc w:val="both"/>
        <w:ind w:firstLine="709" w:left="0" w:right="-143"/>
      </w:pPr>
      <w:r>
        <w:rPr>
          <w:sz w:val="24"/>
        </w:rPr>
        <w:t>1.1.</w:t>
        <w:tab/>
        <w:t>Исполнитель обязуется в установленный Контрактом срок по заданию Заказчика осуществить работы по сбору, обобщению и анализу информации для проведения независимой оценки качества условий осуществления деятельности муниципального казенного учреждения культуры «Правохавский сельский Дом культуры» Правохавского сельского поселения Верхнехавского муниципального района Воронежской области, а Заказчик обязуется принять и оплатить услугу.</w:t>
      </w:r>
    </w:p>
    <w:p>
      <w:pPr>
        <w:pStyle w:val="style0"/>
        <w:jc w:val="both"/>
        <w:tabs>
          <w:tab w:leader="none" w:pos="709" w:val="left"/>
          <w:tab w:leader="none" w:pos="1085" w:val="left"/>
          <w:tab w:leader="underscore" w:pos="1354" w:val="left"/>
          <w:tab w:leader="underscore" w:pos="3000" w:val="left"/>
          <w:tab w:leader="underscore" w:pos="5640" w:val="left"/>
        </w:tabs>
        <w:ind w:firstLine="709" w:left="0" w:right="0"/>
        <w:shd w:fill="FFFFFF"/>
        <w:spacing w:line="276" w:lineRule="atLeast"/>
      </w:pPr>
      <w:r>
        <w:rPr>
          <w:sz w:val="24"/>
        </w:rPr>
        <w:t>1.2.</w:t>
        <w:tab/>
        <w:t xml:space="preserve">    Услуга оказывается Исполнителем, согласно технического задания (Приложение № 1 к настоящему Контракту).</w:t>
      </w:r>
    </w:p>
    <w:p>
      <w:pPr>
        <w:pStyle w:val="style0"/>
        <w:jc w:val="center"/>
        <w:tabs>
          <w:tab w:leader="none" w:pos="426" w:val="left"/>
          <w:tab w:leader="none" w:pos="709" w:val="left"/>
        </w:tabs>
      </w:pPr>
      <w:r>
        <w:rPr>
          <w:sz w:val="24"/>
          <w:b/>
        </w:rPr>
        <w:t>2.</w:t>
        <w:tab/>
        <w:t>Цена Контракта и порядок расчётов</w:t>
      </w:r>
    </w:p>
    <w:p>
      <w:pPr>
        <w:pStyle w:val="style0"/>
        <w:jc w:val="both"/>
        <w:ind w:firstLine="709" w:left="0" w:right="0"/>
        <w:spacing w:line="276" w:lineRule="atLeast"/>
      </w:pPr>
      <w:r>
        <w:rPr>
          <w:sz w:val="24"/>
        </w:rPr>
        <w:t>2.1.</w:t>
        <w:tab/>
        <w:t xml:space="preserve">Цена Контракта составляет </w:t>
      </w:r>
      <w:r>
        <w:rPr>
          <w:sz w:val="24"/>
          <w:b/>
        </w:rPr>
        <w:t>2 800,00 (две тысячи восемьсот) рублей 00 копеек</w:t>
      </w:r>
      <w:r>
        <w:rPr>
          <w:sz w:val="24"/>
        </w:rPr>
        <w:t>, НДС не облагается.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2.2.</w:t>
        <w:tab/>
        <w:t>Указанная цена Контракта является твердой и определяется на весь срок исполнения Контракта. Оплата по Контракту осуществляется в рублях Российской Федерации</w:t>
      </w:r>
      <w:r>
        <w:rPr>
          <w:sz w:val="24"/>
          <w:i/>
        </w:rPr>
        <w:t>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2.3.</w:t>
        <w:tab/>
        <w:t>Цена Контракта указана с учетом всех расходов Исполнителя, связанных с оказанием услуг и других обязательных платежей, которые необходимо выплатить при исполнении Контракта.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2.4. Цена Контракта может быть снижена по соглашению Сторон без изменения предусмотренных Контрактом количества объема услуг, качества оказываемых услуг и иных условий Контракта.</w:t>
      </w:r>
    </w:p>
    <w:p>
      <w:pPr>
        <w:pStyle w:val="style0"/>
        <w:jc w:val="both"/>
        <w:tabs>
          <w:tab w:leader="none" w:pos="709" w:val="left"/>
          <w:tab w:leader="none" w:pos="1418" w:val="left"/>
        </w:tabs>
        <w:ind w:firstLine="709" w:left="0" w:right="0"/>
      </w:pPr>
      <w:r>
        <w:rPr>
          <w:sz w:val="24"/>
        </w:rPr>
        <w:t>2.5.</w:t>
        <w:tab/>
        <w:t>Оплата по Контракту осуществляется путем безналичного расчета за счет средств бюджета Правохасвкого сельского поселения Верхнехавского муниципального района Воронежской области, на основании счета на оплату в течение 15 (пятнадцати) рабочих дней со дня подписания Сторонами Акта выполненных работ (Акта оказанных услуг).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В случае изменения своего расчетного счета Исполнитель обязан в течение 1 (одного) рабочего дня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Обязательства Заказчика по оплате Цены Контракта считаются исполненными с момента списания денежных средств с банковского счета Заказчика, указанного в разделе 13 Контракта.</w:t>
      </w:r>
    </w:p>
    <w:p>
      <w:pPr>
        <w:pStyle w:val="style29"/>
        <w:jc w:val="both"/>
        <w:ind w:firstLine="709" w:left="0" w:right="0"/>
      </w:pPr>
      <w:r>
        <w:rPr>
          <w:sz w:val="24"/>
          <w:rFonts w:ascii="Times New Roman" w:cs="Times New Roman" w:hAnsi="Times New Roman"/>
        </w:rPr>
        <w:t>2.6. В случае уменьшения ранее доведенных в установленном порядке Заказчику, как получателю бюджетных средств лимитов бюджетных обязательств, Стороны согласовывают новые условия, в том числе по цене и (или) по срокам исполнения Контракта и (или) по объему работ, предусмотренных Контрактом.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2.7. В случае неисполнения или ненадлежащего исполнения Исполнителем обязательства, предусмотренного настоящим Контрактом, Заказчик производит оплату по Контракту после перечисления Исполнителем соответствующего размера неустойки.</w:t>
      </w:r>
    </w:p>
    <w:p>
      <w:pPr>
        <w:pStyle w:val="style0"/>
        <w:jc w:val="both"/>
        <w:ind w:firstLine="709" w:left="0" w:right="0"/>
      </w:pPr>
      <w:r>
        <w:rPr/>
      </w:r>
    </w:p>
    <w:p>
      <w:pPr>
        <w:pStyle w:val="style0"/>
        <w:jc w:val="center"/>
      </w:pPr>
      <w:r>
        <w:rPr>
          <w:sz w:val="24"/>
          <w:b/>
        </w:rPr>
        <w:t>3.</w:t>
        <w:tab/>
        <w:t>Сроки оказанных услуг</w:t>
      </w:r>
    </w:p>
    <w:p>
      <w:pPr>
        <w:pStyle w:val="style0"/>
        <w:jc w:val="both"/>
        <w:ind w:firstLine="709" w:left="0" w:right="0"/>
      </w:pPr>
      <w:r>
        <w:rPr>
          <w:sz w:val="24"/>
        </w:rPr>
        <w:t>3.2.</w:t>
        <w:tab/>
        <w:t xml:space="preserve">Срок оказания услуг Исполнителем: </w:t>
      </w:r>
      <w:r>
        <w:rPr>
          <w:sz w:val="24"/>
          <w:rFonts w:eastAsia="MS Mincho"/>
        </w:rPr>
        <w:t>в течение 30 календарных дней с даты заключения Контракта</w:t>
      </w:r>
      <w:r>
        <w:rPr>
          <w:sz w:val="24"/>
        </w:rPr>
        <w:t>.</w:t>
      </w:r>
    </w:p>
    <w:p>
      <w:pPr>
        <w:pStyle w:val="style0"/>
        <w:jc w:val="both"/>
        <w:ind w:firstLine="709" w:left="0" w:right="0"/>
      </w:pPr>
      <w:bookmarkStart w:id="1" w:name="Par710"/>
      <w:bookmarkEnd w:id="1"/>
      <w:r>
        <w:rPr>
          <w:sz w:val="24"/>
        </w:rPr>
        <w:t>3.3.</w:t>
        <w:tab/>
        <w:t>Исполнитель вправе досрочно оказать услуги и сдать Заказчику их результат в установленном настоящим Контрактом порядке.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3.4. Окончание срока действия настоящего Контракта не влечет прекращение неисполненных обязательств сторон, в том числе гарантийных обязательств Исполнителя.</w:t>
      </w:r>
    </w:p>
    <w:p>
      <w:pPr>
        <w:pStyle w:val="style0"/>
        <w:jc w:val="both"/>
        <w:ind w:firstLine="709" w:left="0" w:right="0"/>
      </w:pPr>
      <w:r>
        <w:rPr/>
      </w:r>
    </w:p>
    <w:p>
      <w:pPr>
        <w:pStyle w:val="style0"/>
        <w:jc w:val="center"/>
      </w:pPr>
      <w:r>
        <w:rPr>
          <w:sz w:val="24"/>
          <w:b/>
        </w:rPr>
        <w:t>4.</w:t>
        <w:tab/>
        <w:t>Порядок сдачи-приемки оказанных услуг</w:t>
      </w:r>
    </w:p>
    <w:p>
      <w:pPr>
        <w:pStyle w:val="style0"/>
        <w:jc w:val="both"/>
        <w:ind w:firstLine="720" w:left="0" w:right="0"/>
      </w:pPr>
      <w:r>
        <w:rPr>
          <w:sz w:val="24"/>
        </w:rPr>
        <w:t>4.1.</w:t>
        <w:tab/>
        <w:t xml:space="preserve">В течение 3 (трех) рабочих дней после завершения оказания услуг, предусмотренных Контрактом, Исполнитель представляет Заказчику </w:t>
      </w:r>
      <w:bookmarkStart w:id="2" w:name="Par7161"/>
      <w:bookmarkStart w:id="3" w:name="Par716"/>
      <w:bookmarkStart w:id="4" w:name="Par71611"/>
      <w:bookmarkStart w:id="5" w:name="Par7162"/>
      <w:bookmarkEnd w:id="2"/>
      <w:bookmarkEnd w:id="3"/>
      <w:bookmarkEnd w:id="4"/>
      <w:bookmarkEnd w:id="5"/>
      <w:r>
        <w:rPr>
          <w:sz w:val="24"/>
          <w:rFonts w:eastAsia="Times New Roman"/>
        </w:rPr>
      </w:r>
      <w:bookmarkStart w:id="6" w:name="Par7161"/>
      <w:bookmarkStart w:id="7" w:name="Par716"/>
      <w:bookmarkStart w:id="8" w:name="Par71611"/>
      <w:bookmarkStart w:id="9" w:name="Par7162"/>
      <w:bookmarkEnd w:id="6"/>
      <w:bookmarkEnd w:id="7"/>
      <w:bookmarkEnd w:id="8"/>
      <w:bookmarkEnd w:id="9"/>
      <w:r>
        <w:rPr>
          <w:sz w:val="24"/>
          <w:rFonts w:eastAsia="Times New Roman"/>
        </w:rPr>
        <w:t>счет на оплату оказанных услуг и Акт об оказании услуг, составленный в 2 (двух) экземплярах и подписанный Исполнителем, оформленные надлежащим образом.</w:t>
      </w:r>
    </w:p>
    <w:p>
      <w:pPr>
        <w:pStyle w:val="style0"/>
        <w:jc w:val="both"/>
        <w:ind w:firstLine="720" w:left="0" w:right="0"/>
      </w:pPr>
      <w:r>
        <w:rPr>
          <w:sz w:val="24"/>
        </w:rPr>
        <w:t>4.2.</w:t>
        <w:tab/>
        <w:t>В течение 3 (трех) рабочих дней после получения от Исполнителя документов, указанных в пункте 4.1 Контракта, Заказчик, с особенностями, установленными Федеральным законом № 44-ФЗ, назначает экспертизу результатов, предусмотренных Контрактом, в части их соответствия условиям Контракта.</w:t>
      </w:r>
    </w:p>
    <w:p>
      <w:pPr>
        <w:pStyle w:val="style0"/>
        <w:jc w:val="both"/>
        <w:ind w:firstLine="720" w:left="0" w:right="0"/>
      </w:pPr>
      <w:r>
        <w:rPr>
          <w:sz w:val="24"/>
        </w:rPr>
        <w:t>4.3. Для проверки соответствия качества оказываемых услуг Исполнителем требованиям, установленным настоящим Контрактом, Заказчик вправе привлекать независимых экспертов.</w:t>
      </w:r>
    </w:p>
    <w:p>
      <w:pPr>
        <w:pStyle w:val="style0"/>
        <w:jc w:val="both"/>
        <w:ind w:firstLine="720" w:left="0" w:right="0"/>
      </w:pPr>
      <w:r>
        <w:rPr>
          <w:sz w:val="24"/>
        </w:rPr>
        <w:t>4.4.  В случае если по результатам рассмотрения отчета, содержащего выявленные недостатки и необходимые доработки, Заказчиком будет принято решение об устранении Исполнителем недостатков/выполнении доработок в надлежащем порядке и в установленные сроки, а также в случае отсутствия у Заказчика запросов касательно представления разъяснений в отношении оказанных услуг Заказчик принимает оказанные услуги и подписывает 2 (два) экземпляра Акта оказанных услуг, один из которых направляет Исполнителю в порядке и сроки, предусмотренные в пункте 4.2 Контракта.</w:t>
      </w:r>
    </w:p>
    <w:p>
      <w:pPr>
        <w:pStyle w:val="style0"/>
        <w:jc w:val="both"/>
        <w:ind w:firstLine="720" w:left="0" w:right="0"/>
      </w:pPr>
      <w:r>
        <w:rPr>
          <w:sz w:val="24"/>
        </w:rPr>
        <w:t>4.5. Подписанный Заказчиком и Исполнителем Акт оказанных услуг (Акт выполненных работ) и предъявленный Исполнителем Заказчику счет на оплату являются основанием для оплаты Исполнителю оказанных услуг.</w:t>
      </w:r>
    </w:p>
    <w:p>
      <w:pPr>
        <w:pStyle w:val="style0"/>
        <w:jc w:val="center"/>
      </w:pPr>
      <w:r>
        <w:rPr>
          <w:sz w:val="24"/>
          <w:b/>
        </w:rPr>
        <w:t>5.</w:t>
        <w:tab/>
        <w:t>Права и обязанности Сторон</w:t>
      </w:r>
    </w:p>
    <w:p>
      <w:pPr>
        <w:pStyle w:val="style0"/>
        <w:jc w:val="both"/>
        <w:ind w:firstLine="709" w:left="0" w:right="0"/>
      </w:pPr>
      <w:r>
        <w:rPr>
          <w:sz w:val="24"/>
        </w:rPr>
        <w:t>5.1.</w:t>
        <w:tab/>
        <w:t>Заказчик имеет право:</w:t>
      </w:r>
    </w:p>
    <w:p>
      <w:pPr>
        <w:pStyle w:val="style0"/>
        <w:jc w:val="both"/>
        <w:ind w:firstLine="709" w:left="0" w:right="0"/>
      </w:pPr>
      <w:r>
        <w:rPr>
          <w:sz w:val="24"/>
        </w:rPr>
        <w:t>5.1.1.</w:t>
        <w:tab/>
        <w:t>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5.1.2.</w:t>
        <w:tab/>
        <w:t>Требовать от Исполнителя представления надлежащим образом оформленной отчетной документации, подтверждающей исполнение обязательств в соответствии с настоящим Контрактом.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5.1.3.</w:t>
        <w:tab/>
        <w:t>В случае досрочного исполнения Исполнителем обязательств по настоящему Контракту принять и оплатить работы в соответствии с установленным в Контракте порядком.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5.1.4.</w:t>
        <w:tab/>
        <w:t>Запрашивать у Исполнителя информацию о ходе оказываемых услуг.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5.1.5.     Осуществлять контроль за объемом и сроками оказываемых услуг.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5.1.6.</w:t>
        <w:tab/>
        <w:t>Ссылаться на недостатки услуг, в том числе в части объема и стоимости этих услуг.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5.2.</w:t>
        <w:tab/>
        <w:t>Заказчик обязан: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5.2.1.</w:t>
        <w:tab/>
        <w:t>Сообщать в письменной форме Исполнителю о недостатках, обнаруженных в ходе оказываемых услуг, в течение 2 (двух) рабочих дней после обнаружения таких недостатков.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5.2.2.</w:t>
        <w:tab/>
        <w:t>Своевременно принять и оплатить надлежащим образом оказанные услуги в соответствии с настоящим Контрактом.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5.2.3.</w:t>
        <w:tab/>
        <w:t>Требовать оплаты неустойки (штрафа, пени) в соответствии с условиями настоящего Контракта.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5.3.</w:t>
        <w:tab/>
        <w:t>Исполнитель имеет право: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5.3.1.</w:t>
        <w:tab/>
        <w:t>Требовать своевременного подписания Заказчиком Акта оказанных услуг по настоящему Контракту при условии истечения срока, указанного в п.4 настоящего Контракта.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5.3.2.</w:t>
        <w:tab/>
        <w:t>Требовать своевременной оплаты оказанных услуг.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5.3.3.</w:t>
        <w:tab/>
        <w:t>Получать от Заказчика содействие при оказываемых услугах в соответствии с условиями настоящего Контракта.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5.3.4.</w:t>
        <w:tab/>
        <w:t>Досрочно исполнить обязательства по настоящему Контракту.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5.4.</w:t>
        <w:tab/>
        <w:t>Исполнитель обязан: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5.4.1.</w:t>
        <w:tab/>
        <w:t>Своевременно и надлежащим образом оказать услуги и представить Заказчику документацию по итогам исполнения настоящего Контракта.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bookmarkStart w:id="10" w:name="Par756"/>
      <w:bookmarkEnd w:id="10"/>
      <w:r>
        <w:rPr>
          <w:sz w:val="24"/>
        </w:rPr>
        <w:t>5.4.2. 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5.4.3.</w:t>
        <w:tab/>
        <w:t>Обеспечивать устранение недостатков и дефектов, выявленных при сдаче-приемке услуг за свой счет.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bookmarkStart w:id="11" w:name="Par758"/>
      <w:bookmarkEnd w:id="11"/>
      <w:r>
        <w:rPr>
          <w:sz w:val="24"/>
        </w:rPr>
        <w:t>5.4.4.</w:t>
        <w:tab/>
        <w:t>В случае если законодательством Российской Федерации предусмотрено лицензирование вида деятельности, являющегося предметом настоящего Контракта, а также, в случае если законодательством Российской Федерации к лицам, осуществляющим выполнение работ, являющихся предметом настоящего Контракта, установлено требование об их обязательном членстве в саморегулируемых организациях, Исполнитель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Контракта. Копии таких документов должны быть переданы Исполнителем Заказчику по его требованию.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5.4.5.</w:t>
        <w:tab/>
        <w:t>Исполнять иные обязательства, предусмотренные законодательством Российской Федерации и Контрактом.</w:t>
      </w:r>
    </w:p>
    <w:p>
      <w:pPr>
        <w:pStyle w:val="style36"/>
        <w:jc w:val="center"/>
        <w:spacing w:after="28" w:before="28"/>
      </w:pPr>
      <w:r>
        <w:rPr>
          <w:b/>
          <w:bCs/>
        </w:rPr>
        <w:t>6. Ответственность Сторон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6.1.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6.2.  Неустойка по Контракту выплачивается только на основании обоснованного письменного требования Стороны.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6.3.    Ответственность Заказчика: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 xml:space="preserve">6.3.1. В случае просрочки исполнения Заказчиком обязательств, предусмотренных Контрактом, </w:t>
      </w:r>
      <w:r>
        <w:rPr>
          <w:sz w:val="24"/>
          <w:bCs/>
          <w:rFonts w:eastAsia="Times New Roman"/>
        </w:rPr>
        <w:t>Исполнитель</w:t>
      </w:r>
      <w:r>
        <w:rPr>
          <w:sz w:val="24"/>
          <w:rFonts w:eastAsia="Times New Roman"/>
        </w:rPr>
        <w:t xml:space="preserve"> вправе потребовать уплаты пеней.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устанавливается Контрактом в размере 1/300 ключевой ставки Банка России действующей на дату уплаты пеней от не уплаченной в срок суммы.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6.3.2. За ненадлежащее исполнение Заказчиком обязательств, предусмотренных в Контракте, за исключением просрочки исполнения обязательств, начисляются штрафы.</w:t>
      </w:r>
    </w:p>
    <w:p>
      <w:pPr>
        <w:pStyle w:val="style0"/>
        <w:jc w:val="both"/>
        <w:ind w:firstLine="709" w:left="0" w:right="0"/>
      </w:pPr>
      <w:hyperlink r:id="rId4">
        <w:r>
          <w:rPr>
            <w:sz w:val="24"/>
            <w:rStyle w:val="style22"/>
            <w:rFonts w:eastAsia="Times New Roman"/>
          </w:rPr>
          <w:t>Правила</w:t>
        </w:r>
      </w:hyperlink>
      <w:r>
        <w:rPr>
          <w:sz w:val="24"/>
          <w:rFonts w:eastAsia="Times New Roman"/>
        </w:rPr>
        <w:t xml:space="preserve"> определения размера штрафа за ненадлежащее исполнение заказчиком обязательств по Контракту установлены в Постановлении Правительства РФ от 30.08.2017 № 1042.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За каждый факт неисполнения обязательств по Контракту, за исключением просрочки исполнения обязательств, предусмотренных Контрактом, Заказчик уплачивает: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1 000 руб., если цена Контракта не превышает 3 млн. руб. (включительно).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6.3.3. Общая сумма начисленной неустойки (штрафа, пени)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 xml:space="preserve">6.4. Ответственность </w:t>
      </w:r>
      <w:r>
        <w:rPr>
          <w:sz w:val="24"/>
          <w:bCs/>
          <w:rFonts w:eastAsia="Times New Roman"/>
        </w:rPr>
        <w:t>Исполнителя</w:t>
      </w:r>
      <w:r>
        <w:rPr>
          <w:sz w:val="24"/>
          <w:rFonts w:eastAsia="Times New Roman"/>
        </w:rPr>
        <w:t>: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 xml:space="preserve">6.4.1. В случае несвоевременного выполнения </w:t>
      </w:r>
      <w:r>
        <w:rPr>
          <w:sz w:val="24"/>
          <w:bCs/>
          <w:rFonts w:eastAsia="Times New Roman"/>
        </w:rPr>
        <w:t>Исполнителем</w:t>
      </w:r>
      <w:r>
        <w:rPr>
          <w:sz w:val="24"/>
          <w:rFonts w:eastAsia="Times New Roman"/>
        </w:rPr>
        <w:t xml:space="preserve"> обязательств, предусмотренных в Контракте, </w:t>
      </w:r>
      <w:r>
        <w:rPr>
          <w:sz w:val="24"/>
          <w:bCs/>
          <w:rFonts w:eastAsia="Times New Roman"/>
        </w:rPr>
        <w:t>Исполнитель</w:t>
      </w:r>
      <w:r>
        <w:rPr>
          <w:sz w:val="24"/>
          <w:rFonts w:eastAsia="Times New Roman"/>
        </w:rPr>
        <w:t xml:space="preserve"> обязуется выплатить Заказчику пени.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 xml:space="preserve">Пеня начисляется за каждый день просрочки исполнения </w:t>
      </w:r>
      <w:r>
        <w:rPr>
          <w:sz w:val="24"/>
          <w:bCs/>
          <w:rFonts w:eastAsia="Times New Roman"/>
        </w:rPr>
        <w:t>Исполнителем</w:t>
      </w:r>
      <w:r>
        <w:rPr>
          <w:sz w:val="24"/>
          <w:rFonts w:eastAsia="Times New Roman"/>
        </w:rPr>
        <w:t xml:space="preserve"> обязательства, предусмотренного Контрактом, в размере 1/300 ключевой ставки Банка России действующей на дату уплаты пени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 xml:space="preserve">6.4.2. За каждый факт неисполнения или ненадлежащего исполнения </w:t>
      </w:r>
      <w:r>
        <w:rPr>
          <w:sz w:val="24"/>
          <w:bCs/>
          <w:rFonts w:eastAsia="Times New Roman"/>
        </w:rPr>
        <w:t>Исполнителем</w:t>
      </w:r>
      <w:r>
        <w:rPr>
          <w:sz w:val="24"/>
          <w:rFonts w:eastAsia="Times New Roman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суммы.</w:t>
      </w:r>
    </w:p>
    <w:p>
      <w:pPr>
        <w:pStyle w:val="style0"/>
        <w:jc w:val="both"/>
        <w:ind w:firstLine="709" w:left="0" w:right="0"/>
      </w:pPr>
      <w:hyperlink r:id="rId5">
        <w:r>
          <w:rPr>
            <w:sz w:val="24"/>
            <w:rStyle w:val="style22"/>
            <w:rFonts w:eastAsia="Times New Roman"/>
          </w:rPr>
          <w:t>Правила</w:t>
        </w:r>
      </w:hyperlink>
      <w:r>
        <w:rPr>
          <w:sz w:val="24"/>
          <w:rFonts w:eastAsia="Times New Roman"/>
        </w:rPr>
        <w:t xml:space="preserve"> определения размера штрафа за неисполнение или ненадлежащее исполнение </w:t>
      </w:r>
      <w:r>
        <w:rPr>
          <w:sz w:val="24"/>
          <w:bCs/>
          <w:rFonts w:eastAsia="Times New Roman"/>
        </w:rPr>
        <w:t>Исполнителем</w:t>
      </w:r>
      <w:r>
        <w:rPr>
          <w:sz w:val="24"/>
          <w:rFonts w:eastAsia="Times New Roman"/>
        </w:rPr>
        <w:t xml:space="preserve"> обязательств по Контракту установлены в Постановлении Правительства РФ от 30.08.2017 № 1042. Сумма штрафа определяется в следующем порядке:</w:t>
      </w:r>
    </w:p>
    <w:p>
      <w:pPr>
        <w:pStyle w:val="style0"/>
        <w:jc w:val="both"/>
        <w:ind w:firstLine="709" w:left="0" w:right="0"/>
      </w:pPr>
      <w:r>
        <w:rPr>
          <w:sz w:val="24"/>
          <w:rFonts w:eastAsia="Times New Roman"/>
        </w:rPr>
        <w:t>10% цены Контракта (этапа), если цена Контракта (этапа) не превышает 3 млн. руб.</w:t>
      </w:r>
    </w:p>
    <w:p>
      <w:pPr>
        <w:pStyle w:val="style0"/>
        <w:numPr>
          <w:ilvl w:val="2"/>
          <w:numId w:val="2"/>
        </w:numPr>
        <w:jc w:val="both"/>
        <w:ind w:firstLine="709" w:left="0" w:right="0"/>
      </w:pPr>
      <w:r>
        <w:rPr>
          <w:sz w:val="24"/>
          <w:rFonts w:eastAsia="Times New Roman"/>
        </w:rPr>
        <w:t xml:space="preserve">Общая сумма начисленной неустойки (штрафа, пени) за неисполнение или ненадлежащее исполнение </w:t>
      </w:r>
      <w:r>
        <w:rPr>
          <w:sz w:val="24"/>
          <w:bCs/>
          <w:rFonts w:eastAsia="Times New Roman"/>
        </w:rPr>
        <w:t>Исполнителем</w:t>
      </w:r>
      <w:r>
        <w:rPr>
          <w:sz w:val="24"/>
          <w:rFonts w:eastAsia="Times New Roman"/>
        </w:rPr>
        <w:t xml:space="preserve"> обязательств, предусмотренных Контрактом, не может превышать цену Контракта.</w:t>
      </w:r>
    </w:p>
    <w:p>
      <w:pPr>
        <w:pStyle w:val="style0"/>
        <w:jc w:val="center"/>
      </w:pPr>
      <w:r>
        <w:rPr>
          <w:sz w:val="24"/>
          <w:b/>
        </w:rPr>
        <w:t>7.</w:t>
        <w:tab/>
        <w:t>Обстоятельства непреодолимой силы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7.1.</w:t>
        <w:tab/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7.2.</w:t>
        <w:tab/>
        <w:t>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7.3.</w:t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7.4.</w:t>
        <w:tab/>
        <w:t>Если обстоятельства, указанные в пункте 7.1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>
      <w:pPr>
        <w:pStyle w:val="style0"/>
        <w:jc w:val="center"/>
      </w:pPr>
      <w:r>
        <w:rPr>
          <w:sz w:val="24"/>
          <w:b/>
        </w:rPr>
        <w:t>8.</w:t>
        <w:tab/>
        <w:t>Порядок урегулирования споров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8.1.</w:t>
        <w:tab/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8.2.</w:t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8.3.</w:t>
        <w:tab/>
        <w:t>До передачи спора на разрешение Арбитражного суда Стороны примут меры к его урегулированию в претензионном порядке.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8.3.1.</w:t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8.4.</w:t>
        <w:tab/>
        <w:t>В случае невыполнения Сторонами своих обязательств и недостижения взаимного согласия споры по настоящему Контракту разрешаются в Арбитражном суде.</w:t>
      </w:r>
    </w:p>
    <w:p>
      <w:pPr>
        <w:pStyle w:val="style0"/>
        <w:jc w:val="center"/>
      </w:pPr>
      <w:r>
        <w:rPr>
          <w:sz w:val="24"/>
          <w:b/>
        </w:rPr>
        <w:t>9.</w:t>
        <w:tab/>
        <w:t>Срок действия, порядок изменения Контракта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9.1. Контракт вступает в силу с момента его подписания Сторонами и действует до «31» декабря 2019 г.</w:t>
      </w:r>
    </w:p>
    <w:p>
      <w:pPr>
        <w:pStyle w:val="style0"/>
        <w:jc w:val="both"/>
        <w:ind w:firstLine="709" w:left="0" w:right="0"/>
      </w:pPr>
      <w:r>
        <w:rPr>
          <w:sz w:val="24"/>
        </w:rPr>
        <w:t>9.2. Обязательства Сторон, не исполненные до даты истечения срока действия настоящего Контракта, указанного в пункте 9.1 Контракта, подлежат исполнению в полном объеме.</w:t>
      </w:r>
    </w:p>
    <w:p>
      <w:pPr>
        <w:pStyle w:val="style0"/>
        <w:jc w:val="both"/>
        <w:ind w:firstLine="709" w:left="0" w:right="0"/>
      </w:pPr>
      <w:bookmarkStart w:id="12" w:name="Par857"/>
      <w:bookmarkEnd w:id="12"/>
      <w:r>
        <w:rPr>
          <w:sz w:val="24"/>
        </w:rPr>
        <w:t>9.3.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форме.</w:t>
      </w:r>
    </w:p>
    <w:p>
      <w:pPr>
        <w:pStyle w:val="style0"/>
        <w:jc w:val="center"/>
      </w:pPr>
      <w:r>
        <w:rPr>
          <w:sz w:val="24"/>
          <w:b/>
        </w:rPr>
        <w:t>10.</w:t>
        <w:tab/>
        <w:t>Прочие условия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</w:pPr>
      <w:r>
        <w:rPr>
          <w:sz w:val="24"/>
        </w:rPr>
        <w:t>10.1.</w:t>
        <w:tab/>
        <w:t>Все уведомления Сторон, связанные с исполнением Контракта, направляются в письменной форме по почте заказным письмом по почтовому адресу Стороны, указанному в разделе 11 Контракта, или с использованием факсимильной связи, электронной почты с последующим предоставлением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pStyle w:val="style29"/>
        <w:jc w:val="both"/>
        <w:ind w:firstLine="709" w:left="0" w:right="0"/>
        <w:spacing w:line="100" w:lineRule="atLeast"/>
      </w:pPr>
      <w:r>
        <w:rPr>
          <w:sz w:val="24"/>
          <w:rFonts w:ascii="Times New Roman" w:cs="Times New Roman" w:hAnsi="Times New Roman"/>
        </w:rPr>
        <w:t>10.2.</w:t>
      </w:r>
      <w:r>
        <w:rPr>
          <w:sz w:val="24"/>
          <w:i/>
          <w:rFonts w:ascii="Times New Roman" w:cs="Times New Roman" w:hAnsi="Times New Roman"/>
        </w:rPr>
        <w:tab/>
      </w:r>
      <w:r>
        <w:rPr>
          <w:sz w:val="24"/>
          <w:rFonts w:ascii="Times New Roman" w:cs="Times New Roman" w:hAnsi="Times New Roman"/>
        </w:rPr>
        <w:t>Контракт составлен в 2 (двух) экземплярах, по одному для каждой из Сторон, имеющих одинаковую юридическую силу.</w:t>
      </w:r>
    </w:p>
    <w:p>
      <w:pPr>
        <w:pStyle w:val="style0"/>
        <w:jc w:val="both"/>
        <w:tabs>
          <w:tab w:leader="none" w:pos="709" w:val="left"/>
          <w:tab w:leader="none" w:pos="1560" w:val="left"/>
        </w:tabs>
        <w:ind w:firstLine="709" w:left="0" w:right="0"/>
        <w:spacing w:line="100" w:lineRule="atLeast"/>
      </w:pPr>
      <w:r>
        <w:rPr>
          <w:sz w:val="24"/>
        </w:rPr>
        <w:t>10.3.</w:t>
        <w:tab/>
        <w:t>Во всем, что не предусмотрено Контрактом, Стороны руководствуются законодательством Российской Федерации.</w:t>
      </w:r>
    </w:p>
    <w:p>
      <w:pPr>
        <w:pStyle w:val="style0"/>
        <w:jc w:val="center"/>
        <w:spacing w:line="100" w:lineRule="atLeast"/>
      </w:pPr>
      <w:r>
        <w:rPr>
          <w:sz w:val="24"/>
        </w:rPr>
        <w:t>11.</w:t>
      </w:r>
      <w:r>
        <w:rPr>
          <w:sz w:val="24"/>
          <w:b/>
        </w:rPr>
        <w:t xml:space="preserve"> Адреса, реквизиты и подписи Сторон</w:t>
      </w:r>
    </w:p>
    <w:tbl>
      <w:tblPr>
        <w:tblW w:type="dxa" w:w="9780"/>
        <w:tblBorders>
          <w:top w:color="00000A" w:space="0" w:sz="8" w:val="single"/>
          <w:left w:color="00000A" w:space="0" w:sz="8" w:val="single"/>
          <w:bottom w:color="00000A" w:space="0" w:sz="8" w:val="single"/>
          <w:right w:color="00000A" w:space="0" w:sz="8" w:val="single"/>
        </w:tblBorders>
        <w:jc w:val="left"/>
        <w:tblInd w:type="dxa" w:w="-226"/>
      </w:tblPr>
      <w:tblGrid>
        <w:gridCol w:w="4893"/>
        <w:gridCol w:w="4887"/>
      </w:tblGrid>
      <w:tr>
        <w:trPr>
          <w:trHeight w:hRule="atLeast" w:val="356"/>
          <w:cantSplit w:val="off"/>
        </w:trPr>
        <w:tc>
          <w:tcPr>
            <w:tcBorders>
              <w:top w:color="00000A" w:space="0" w:sz="8" w:val="single"/>
              <w:left w:color="00000A" w:space="0" w:sz="8" w:val="single"/>
              <w:bottom w:color="00000A" w:space="0" w:sz="8" w:val="single"/>
              <w:right w:color="00000A" w:space="0" w:sz="8" w:val="single"/>
            </w:tcBorders>
            <w:shd w:fill="FFFFFF"/>
            <w:tcW w:type="dxa" w:w="4893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both"/>
            </w:pPr>
            <w:r>
              <w:rPr>
                <w:sz w:val="24"/>
                <w:b/>
              </w:rPr>
              <w:t>Исполнитель:</w:t>
            </w:r>
          </w:p>
        </w:tc>
        <w:tc>
          <w:tcPr>
            <w:tcBorders>
              <w:top w:color="00000A" w:space="0" w:sz="8" w:val="single"/>
              <w:bottom w:color="00000A" w:space="0" w:sz="8" w:val="single"/>
              <w:right w:color="00000A" w:space="0" w:sz="8" w:val="single"/>
            </w:tcBorders>
            <w:shd w:fill="FFFFFF"/>
            <w:tcW w:type="dxa" w:w="4887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both"/>
            </w:pPr>
            <w:r>
              <w:rPr>
                <w:sz w:val="24"/>
                <w:b/>
                <w:bCs/>
              </w:rPr>
              <w:t>Заказчик:</w:t>
            </w:r>
          </w:p>
        </w:tc>
      </w:tr>
      <w:tr>
        <w:trPr>
          <w:cantSplit w:val="off"/>
        </w:trPr>
        <w:tc>
          <w:tcPr>
            <w:tcBorders>
              <w:top w:color="00000A" w:space="0" w:sz="8" w:val="single"/>
              <w:left w:color="00000A" w:space="0" w:sz="8" w:val="single"/>
              <w:bottom w:color="00000A" w:space="0" w:sz="8" w:val="single"/>
              <w:right w:color="00000A" w:space="0" w:sz="8" w:val="single"/>
            </w:tcBorders>
            <w:shd w:fill="FFFFFF"/>
            <w:tcW w:type="dxa" w:w="4893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Общество с ограниченной ответственностью «Лаборатория диагностики и развития социальных систем»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Адрес местонахождения: Республика Башкортостан, город Уфа, ул. Комсомольская 106/1, оф. 5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Адрес почтовый: 450001, Республика Башкортостан, город Уфа, а/я 2027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 xml:space="preserve">Адрес юридический: 453302, Республика Башкортостан, город Кумертау, бульвар Садовый, дом 3 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ИНН 0262026670 , КПП 026201001, ОГРН 1170280026311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Расчётный счёт 40702810914500003126 в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ТОЧКА ПАО БАНКА "ФК ОТКРЫТИЕ"</w:t>
            </w:r>
          </w:p>
          <w:p>
            <w:pPr>
              <w:pStyle w:val="style38"/>
              <w:spacing w:line="100" w:lineRule="atLeast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Корсчёт 30101810845250000999</w:t>
              <w:br/>
              <w:t>БИК 044525999 в ГУ банка России по ЦФО</w:t>
              <w:drawing>
                <wp:inline distB="0" distL="0" distR="0" distT="0">
                  <wp:extent cx="1885315" cy="1637665"/>
                  <wp:effectExtent b="0" l="0" r="0" t="0"/>
                  <wp:docPr descr="A description..."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A description...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315" cy="1637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38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Генеральный директор</w:t>
            </w:r>
          </w:p>
          <w:p>
            <w:pPr>
              <w:pStyle w:val="style38"/>
            </w:pPr>
            <w:r>
              <w:rPr>
                <w:sz w:val="22"/>
                <w:szCs w:val="22"/>
                <w:rFonts w:ascii="Times New Roman" w:cs="Times New Roman" w:hAnsi="Times New Roman"/>
              </w:rPr>
              <w:t>_____________ Д.Ф. Барсукова</w:t>
            </w:r>
          </w:p>
          <w:p>
            <w:pPr>
              <w:pStyle w:val="style0"/>
              <w:jc w:val="both"/>
            </w:pPr>
            <w:r>
              <w:rPr/>
            </w:r>
          </w:p>
        </w:tc>
        <w:tc>
          <w:tcPr>
            <w:tcBorders>
              <w:top w:color="00000A" w:space="0" w:sz="8" w:val="single"/>
              <w:bottom w:color="00000A" w:space="0" w:sz="8" w:val="single"/>
              <w:right w:color="00000A" w:space="0" w:sz="8" w:val="single"/>
            </w:tcBorders>
            <w:shd w:fill="FFFFFF"/>
            <w:tcW w:type="dxa" w:w="4887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Администрация Првохавского сельского поселения Верхнехавского муниципального района Воронежской области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Адрес: 396115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Воронежская область, Верхнехавский район, село Правая Хава, ул. Леваневского, д.10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Телефон: 8(473 43) 95-1-19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ИНН 3607000920, КПП 360701001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р/сч. 40101810500000010004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отделение Воронеж г.Воронеж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БИК 042007001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ОГРН 1023600934928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Глава администрации Правохавского сельского поселения Верхнехавского муниципального  района Воронежской области</w:t>
            </w:r>
          </w:p>
          <w:p>
            <w:pPr>
              <w:pStyle w:val="style0"/>
              <w:jc w:val="both"/>
              <w:overflowPunct w:val="false"/>
            </w:pPr>
            <w:r>
              <w:rPr/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__________________ А.П. Дудченко</w:t>
            </w:r>
          </w:p>
          <w:p>
            <w:pPr>
              <w:pStyle w:val="style0"/>
              <w:jc w:val="both"/>
              <w:overflowPunct w:val="false"/>
            </w:pPr>
            <w:r>
              <w:rPr>
                <w:sz w:val="24"/>
                <w:lang w:eastAsia="en-US"/>
              </w:rPr>
              <w:t>М.П.</w:t>
            </w:r>
          </w:p>
          <w:p>
            <w:pPr>
              <w:pStyle w:val="style0"/>
              <w:jc w:val="both"/>
              <w:overflowPunct w:val="false"/>
            </w:pPr>
            <w:r>
              <w:rPr/>
            </w:r>
          </w:p>
        </w:tc>
      </w:tr>
    </w:tbl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szCs w:val="22"/>
        </w:rPr>
        <w:t>Приложение № 1</w:t>
      </w:r>
    </w:p>
    <w:p>
      <w:pPr>
        <w:pStyle w:val="style0"/>
        <w:jc w:val="right"/>
      </w:pPr>
      <w:r>
        <w:rPr>
          <w:sz w:val="22"/>
          <w:szCs w:val="22"/>
        </w:rPr>
        <w:t xml:space="preserve">                                                                                        </w:t>
      </w:r>
      <w:r>
        <w:rPr>
          <w:sz w:val="22"/>
          <w:szCs w:val="22"/>
        </w:rPr>
        <w:t xml:space="preserve">к муниципальному контракту </w:t>
      </w:r>
    </w:p>
    <w:p>
      <w:pPr>
        <w:pStyle w:val="style0"/>
        <w:jc w:val="right"/>
      </w:pPr>
      <w:r>
        <w:rPr>
          <w:sz w:val="22"/>
          <w:szCs w:val="22"/>
        </w:rPr>
        <w:t>от «____» _________2019г. № ____</w:t>
      </w:r>
    </w:p>
    <w:p>
      <w:pPr>
        <w:pStyle w:val="style0"/>
        <w:jc w:val="both"/>
      </w:pPr>
      <w:r>
        <w:rPr/>
      </w:r>
    </w:p>
    <w:p>
      <w:pPr>
        <w:pStyle w:val="style0"/>
        <w:jc w:val="center"/>
      </w:pPr>
      <w:r>
        <w:rPr>
          <w:sz w:val="22"/>
          <w:b/>
          <w:szCs w:val="22"/>
        </w:rPr>
        <w:t>Техническое задание</w:t>
      </w:r>
    </w:p>
    <w:p>
      <w:pPr>
        <w:pStyle w:val="style0"/>
        <w:numPr>
          <w:ilvl w:val="1"/>
          <w:numId w:val="4"/>
        </w:numPr>
        <w:jc w:val="both"/>
        <w:tabs>
          <w:tab w:leader="none" w:pos="709" w:val="left"/>
          <w:tab w:leader="none" w:pos="1134" w:val="left"/>
        </w:tabs>
        <w:ind w:firstLine="709" w:left="0" w:right="0"/>
        <w:spacing w:after="0" w:before="120"/>
      </w:pPr>
      <w:r>
        <w:rPr>
          <w:sz w:val="22"/>
          <w:b/>
          <w:szCs w:val="22"/>
        </w:rPr>
        <w:t>Наименование и объем работ</w:t>
      </w:r>
    </w:p>
    <w:p>
      <w:pPr>
        <w:pStyle w:val="style0"/>
        <w:jc w:val="both"/>
        <w:ind w:firstLine="709" w:left="0" w:right="-143"/>
      </w:pPr>
      <w:r>
        <w:rPr>
          <w:sz w:val="22"/>
          <w:szCs w:val="22"/>
        </w:rPr>
        <w:t xml:space="preserve">Исполнитель выполняет работы по сбору, обобщению и анализу информации для проведения независимой оценки качества условий осуществления деятельности в </w:t>
      </w:r>
      <w:r>
        <w:rPr>
          <w:sz w:val="22"/>
          <w:szCs w:val="22"/>
          <w:lang w:eastAsia="ar-SA"/>
        </w:rPr>
        <w:t xml:space="preserve">отношении 1 (одного) </w:t>
      </w:r>
      <w:r>
        <w:rPr>
          <w:sz w:val="22"/>
          <w:szCs w:val="22"/>
        </w:rPr>
        <w:t>учреждения в сфере культуры</w:t>
      </w:r>
      <w:r>
        <w:rPr>
          <w:sz w:val="22"/>
          <w:szCs w:val="22"/>
          <w:lang w:eastAsia="ar-SA"/>
        </w:rPr>
        <w:t>: М</w:t>
      </w:r>
      <w:r>
        <w:rPr>
          <w:sz w:val="22"/>
          <w:szCs w:val="22"/>
          <w:rFonts w:eastAsia="Times New Roman"/>
        </w:rPr>
        <w:t>униципальное казённое учреждение культуры «Правохавский сельский Дом культуры» Правохавского сельского поселения Верхнехавского муниципального района Воронежской области.</w:t>
      </w:r>
    </w:p>
    <w:p>
      <w:pPr>
        <w:pStyle w:val="style0"/>
        <w:numPr>
          <w:ilvl w:val="1"/>
          <w:numId w:val="4"/>
        </w:numPr>
        <w:jc w:val="both"/>
        <w:tabs>
          <w:tab w:leader="none" w:pos="709" w:val="left"/>
          <w:tab w:leader="none" w:pos="1134" w:val="left"/>
        </w:tabs>
        <w:ind w:firstLine="709" w:left="0" w:right="-143"/>
        <w:spacing w:after="0" w:before="120"/>
      </w:pPr>
      <w:r>
        <w:rPr>
          <w:sz w:val="22"/>
          <w:b/>
          <w:szCs w:val="22"/>
        </w:rPr>
        <w:t>Нормативные требования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 xml:space="preserve">Оказание услуг по проведению независимой оценки качества условий оказания услуг учреждением культуры (далее – Услуги) осуществляется по учреждению культуры в соответствии </w:t>
      </w:r>
      <w:r>
        <w:rPr>
          <w:sz w:val="22"/>
          <w:szCs w:val="22"/>
          <w:lang w:eastAsia="ar-SA"/>
        </w:rPr>
        <w:t>с: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Постановлением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Приказом Министерства труда и социальной защиты Российской Федерации от 31 мая 2018 г. № 344 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Приказом Министерства культуры Российской Федерации от 27 апреля 2018 г. № 599 «Об утверждении показателей, характеризующих общие критерии оценки качества условий оказания услуг организациями культуры».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Источниками информации о качестве условий оказания услуг являются: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официальные сайты учреждения культуры в информационно-телекоммуникационной сети «Интернет», информационные стенды в помещениях указанного учреждения;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результаты изучения условий оказания услуг учреждения культуры, включающие: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наличие и функционирование дистанционных способов обратной связи и взаимодействия с получателями услуг;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обеспечение комфортных условий предоставления услуг;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обеспечение доступности для инвалидов помещений учреждения культуры, прилегающих территорий и предоставляемых услуг;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мнение получателей услуг о качестве условий оказания услуг в целях установления удовлетворенности граждан условиями оказания услуг (анкетирование, интервьюирование, телефонный опрос, интернет-опрос, в том числе на официальном сайте учреждения культуры и т.п.).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 xml:space="preserve">Исполнитель представляет Заказчику отчет о результатах оказанных Услуг по </w:t>
      </w:r>
      <w:r>
        <w:rPr>
          <w:sz w:val="22"/>
          <w:szCs w:val="22"/>
        </w:rPr>
        <w:t>учреждению</w:t>
      </w:r>
      <w:r>
        <w:rPr>
          <w:sz w:val="22"/>
          <w:szCs w:val="22"/>
          <w:lang w:eastAsia="ar-SA"/>
        </w:rPr>
        <w:t>, который должен содержать: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результаты обобщения информации, размещённой на официальных сайтах учреждения культуры и информационных стендах в помещениях указанного учреждения;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  результаты удовлетворённости граждан качеством условий оказания услуг, в том числе объём и параметры выборочной совокупности респондентов;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 xml:space="preserve">- значения по каждому показателю, характеризующему общие критерии оценки качества условий оказания услуг учреждением культуры (в баллах), 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основные недостатки в работе учреждения культуры, выявленные в ходе сбора и обобщения информации о качестве условий оказания услуг;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lang w:eastAsia="ar-SA"/>
        </w:rPr>
        <w:t>- выводы и предложения по совершенствованию деятельности учреждения культуры.</w:t>
      </w:r>
    </w:p>
    <w:p>
      <w:pPr>
        <w:pStyle w:val="style0"/>
        <w:numPr>
          <w:ilvl w:val="1"/>
          <w:numId w:val="4"/>
        </w:numPr>
        <w:jc w:val="both"/>
        <w:tabs>
          <w:tab w:leader="none" w:pos="709" w:val="left"/>
          <w:tab w:leader="none" w:pos="1134" w:val="left"/>
        </w:tabs>
        <w:ind w:firstLine="709" w:left="0" w:right="0"/>
        <w:spacing w:after="0" w:before="120"/>
      </w:pPr>
      <w:r>
        <w:rPr>
          <w:sz w:val="22"/>
          <w:b/>
          <w:szCs w:val="22"/>
        </w:rPr>
        <w:t>Требования к оформлению отчетных материалов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>По результатам проведения работы по сбору, обобщению и анализу информации для проведения независимой оценки качества условий осуществления деятельности учреждения культуры, Исполнитель формирует аналитические отчеты с приложением подготовленных материалов.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</w:rPr>
        <w:t xml:space="preserve">Отчеты должны включать как текстовые комментарии, так и статистические таблицы, графики, диаграммы и пр. Отчеты оформляются в текстовом редакторе в формате, совместимом с MS Office. </w:t>
      </w:r>
      <w:r>
        <w:rPr>
          <w:sz w:val="22"/>
          <w:szCs w:val="22"/>
          <w:bCs/>
        </w:rPr>
        <w:t xml:space="preserve">Электронный массив данных формируется в формате, совместимом с программным обеспечением </w:t>
      </w:r>
      <w:r>
        <w:rPr>
          <w:sz w:val="22"/>
          <w:szCs w:val="22"/>
          <w:lang w:val="en-US"/>
        </w:rPr>
        <w:t>Microsoft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Cs/>
        </w:rPr>
        <w:t>Excel.</w:t>
      </w:r>
    </w:p>
    <w:p>
      <w:pPr>
        <w:pStyle w:val="style0"/>
        <w:jc w:val="both"/>
        <w:ind w:firstLine="709" w:left="0" w:right="0"/>
      </w:pPr>
      <w:r>
        <w:rPr/>
        <w:drawing>
          <wp:inline distB="0" distL="0" distR="0" distT="0">
            <wp:extent cx="1885315" cy="163766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Borders/>
        <w:jc w:val="left"/>
        <w:tblInd w:type="dxa" w:w="-225"/>
      </w:tblPr>
      <w:tblGrid>
        <w:gridCol w:w="5992"/>
        <w:gridCol w:w="3278"/>
      </w:tblGrid>
      <w:tr>
        <w:trPr>
          <w:cantSplit w:val="off"/>
        </w:trPr>
        <w:tc>
          <w:tcPr>
            <w:tcBorders/>
            <w:shd w:fill="FFFFFF"/>
            <w:tcW w:type="dxa" w:w="5992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</w:pPr>
            <w:r>
              <w:rPr>
                <w:sz w:val="22"/>
                <w:b/>
                <w:szCs w:val="22"/>
                <w:rFonts w:eastAsia="MS Mincho"/>
              </w:rPr>
              <w:t>«Исполнитель»:</w:t>
            </w:r>
          </w:p>
        </w:tc>
        <w:tc>
          <w:tcPr>
            <w:tcBorders/>
            <w:shd w:fill="FFFFFF"/>
            <w:tcW w:type="dxa" w:w="3278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tabs>
                <w:tab w:leader="none" w:pos="709" w:val="left"/>
                <w:tab w:leader="none" w:pos="4530" w:val="left"/>
              </w:tabs>
            </w:pPr>
            <w:r>
              <w:rPr>
                <w:sz w:val="22"/>
                <w:b/>
                <w:szCs w:val="22"/>
                <w:rFonts w:eastAsia="MS Mincho"/>
              </w:rPr>
              <w:t>«Заказчик»:</w:t>
            </w:r>
          </w:p>
        </w:tc>
      </w:tr>
      <w:tr>
        <w:trPr>
          <w:cantSplit w:val="off"/>
        </w:trPr>
        <w:tc>
          <w:tcPr>
            <w:tcBorders/>
            <w:shd w:fill="FFFFFF"/>
            <w:tcW w:type="dxa" w:w="5992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</w:pPr>
            <w:r>
              <w:rPr>
                <w:sz w:val="24"/>
              </w:rPr>
              <w:t>Генеральный директор</w:t>
            </w:r>
          </w:p>
          <w:p>
            <w:pPr>
              <w:pStyle w:val="style0"/>
            </w:pPr>
            <w:r>
              <w:rPr>
                <w:sz w:val="24"/>
              </w:rPr>
            </w:r>
          </w:p>
          <w:p>
            <w:pPr>
              <w:pStyle w:val="style0"/>
            </w:pPr>
            <w:r>
              <w:rPr>
                <w:sz w:val="24"/>
              </w:rPr>
              <w:t>_____________ Д.Ф. Барсукова</w:t>
            </w:r>
          </w:p>
          <w:p>
            <w:pPr>
              <w:pStyle w:val="style0"/>
            </w:pPr>
            <w:r>
              <w:rPr>
                <w:sz w:val="24"/>
                <w:bCs/>
              </w:rPr>
            </w:r>
          </w:p>
        </w:tc>
        <w:tc>
          <w:tcPr>
            <w:tcBorders/>
            <w:shd w:fill="FFFFFF"/>
            <w:tcW w:type="dxa" w:w="3278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</w:pPr>
            <w:bookmarkStart w:id="13" w:name="DDE_LINK1"/>
            <w:r>
              <w:rPr>
                <w:sz w:val="22"/>
                <w:szCs w:val="22"/>
                <w:bCs/>
              </w:rPr>
              <w:t>Глав</w:t>
            </w:r>
            <w:bookmarkEnd w:id="13"/>
            <w:r>
              <w:rPr>
                <w:sz w:val="22"/>
                <w:szCs w:val="22"/>
                <w:bCs/>
              </w:rPr>
              <w:t>а администрации Правохавского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сельского поселения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Верхнехавского муниципального района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Воронежской области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_________________А.П. Дудченко</w:t>
            </w:r>
          </w:p>
          <w:p>
            <w:pPr>
              <w:pStyle w:val="style0"/>
            </w:pPr>
            <w:bookmarkStart w:id="14" w:name="DDE_LINK1"/>
            <w:bookmarkEnd w:id="14"/>
            <w:r>
              <w:rPr>
                <w:sz w:val="22"/>
                <w:szCs w:val="22"/>
                <w:bCs/>
              </w:rPr>
              <w:t>М.П.</w:t>
            </w:r>
          </w:p>
        </w:tc>
      </w:tr>
      <w:tr>
        <w:trPr>
          <w:cantSplit w:val="off"/>
        </w:trPr>
        <w:tc>
          <w:tcPr>
            <w:tcBorders/>
            <w:gridSpan w:val="2"/>
            <w:shd w:fill="FFFFFF"/>
            <w:tcW w:type="dxa" w:w="4635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40" w:lineRule="exact"/>
            </w:pPr>
            <w:r>
              <w:rPr/>
            </w:r>
          </w:p>
        </w:tc>
      </w:tr>
    </w:tbl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b/>
          <w:szCs w:val="22"/>
          <w:rFonts w:eastAsia="Times New Roman"/>
          <w:lang w:eastAsia="zh-CN"/>
        </w:rPr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/>
      </w:r>
    </w:p>
    <w:p>
      <w:pPr>
        <w:pStyle w:val="style0"/>
        <w:jc w:val="right"/>
        <w:tabs>
          <w:tab w:leader="none" w:pos="709" w:val="left"/>
          <w:tab w:leader="none" w:pos="3690" w:val="left"/>
          <w:tab w:leader="none" w:pos="4961" w:val="center"/>
        </w:tabs>
      </w:pPr>
      <w:r>
        <w:rPr>
          <w:sz w:val="22"/>
          <w:szCs w:val="22"/>
          <w:rFonts w:eastAsia="Times New Roman"/>
          <w:lang w:eastAsia="zh-CN"/>
        </w:rPr>
        <w:t>Приложение № 2</w:t>
      </w:r>
    </w:p>
    <w:p>
      <w:pPr>
        <w:pStyle w:val="style0"/>
        <w:jc w:val="right"/>
      </w:pPr>
      <w:r>
        <w:rPr>
          <w:sz w:val="22"/>
          <w:szCs w:val="22"/>
          <w:rFonts w:eastAsia="Times New Roman"/>
          <w:lang w:eastAsia="zh-CN"/>
        </w:rPr>
        <w:t xml:space="preserve">к муниципальному контракту </w:t>
      </w:r>
    </w:p>
    <w:p>
      <w:pPr>
        <w:pStyle w:val="style0"/>
        <w:jc w:val="right"/>
      </w:pPr>
      <w:r>
        <w:rPr>
          <w:sz w:val="22"/>
          <w:szCs w:val="22"/>
          <w:rFonts w:eastAsia="Times New Roman"/>
          <w:lang w:eastAsia="zh-CN"/>
        </w:rPr>
        <w:t xml:space="preserve">от «____» ______________ 2019 г. № _____  </w:t>
      </w:r>
    </w:p>
    <w:p>
      <w:pPr>
        <w:pStyle w:val="style0"/>
        <w:jc w:val="both"/>
        <w:ind w:firstLine="709" w:left="0" w:right="0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sz w:val="22"/>
          <w:b/>
          <w:szCs w:val="22"/>
          <w:lang w:eastAsia="en-US"/>
        </w:rPr>
        <w:t>Перечень</w:t>
      </w:r>
    </w:p>
    <w:p>
      <w:pPr>
        <w:pStyle w:val="style0"/>
        <w:jc w:val="center"/>
      </w:pPr>
      <w:r>
        <w:rPr>
          <w:sz w:val="22"/>
          <w:b/>
          <w:szCs w:val="22"/>
          <w:lang w:eastAsia="en-US"/>
        </w:rPr>
        <w:t xml:space="preserve">организаций культуры, в отношении которых проводится </w:t>
      </w:r>
    </w:p>
    <w:p>
      <w:pPr>
        <w:pStyle w:val="style0"/>
        <w:jc w:val="center"/>
      </w:pPr>
      <w:r>
        <w:rPr>
          <w:sz w:val="22"/>
          <w:b/>
          <w:szCs w:val="22"/>
          <w:lang w:eastAsia="en-US"/>
        </w:rPr>
        <w:t xml:space="preserve">независимая оценка качества условий оказания услуг в 2019 году </w:t>
      </w:r>
    </w:p>
    <w:p>
      <w:pPr>
        <w:pStyle w:val="style0"/>
        <w:jc w:val="center"/>
      </w:pPr>
      <w:r>
        <w:rPr/>
      </w:r>
    </w:p>
    <w:tbl>
      <w:tblPr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  <w:jc w:val="left"/>
        <w:tblInd w:type="dxa" w:w="-651"/>
      </w:tblPr>
      <w:tblGrid>
        <w:gridCol w:w="388"/>
        <w:gridCol w:w="1347"/>
        <w:gridCol w:w="1479"/>
        <w:gridCol w:w="986"/>
        <w:gridCol w:w="1020"/>
        <w:gridCol w:w="1920"/>
        <w:gridCol w:w="1864"/>
        <w:gridCol w:w="1206"/>
      </w:tblGrid>
      <w:tr>
        <w:trPr>
          <w:cantSplit w:val="off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388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 xml:space="preserve">№ 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347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Полное название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479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Адрес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986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ФИО руководителя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020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Телефон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920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Эл.почта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864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Сайт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206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Количество получателей услуг</w:t>
            </w:r>
          </w:p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b/>
                <w:szCs w:val="20"/>
                <w:lang w:eastAsia="zh-CN"/>
              </w:rPr>
              <w:t>(за 2018 г)</w:t>
            </w:r>
          </w:p>
        </w:tc>
      </w:tr>
      <w:tr>
        <w:trPr>
          <w:cantSplit w:val="off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388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  <w:spacing w:line="276" w:lineRule="atLeast"/>
            </w:pPr>
            <w:r>
              <w:rPr>
                <w:sz w:val="20"/>
                <w:szCs w:val="20"/>
                <w:rFonts w:eastAsia="Times New Roman"/>
              </w:rPr>
              <w:t>1.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347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r>
              <w:rPr>
                <w:sz w:val="20"/>
                <w:szCs w:val="20"/>
                <w:lang w:eastAsia="zh-CN"/>
              </w:rPr>
              <w:t>МКУК «Правохавский сельский Дом культуры»</w:t>
            </w:r>
          </w:p>
          <w:p>
            <w:pPr>
              <w:pStyle w:val="style0"/>
              <w:spacing w:line="276" w:lineRule="atLeast"/>
            </w:pPr>
            <w:r>
              <w:rPr/>
            </w:r>
          </w:p>
          <w:p>
            <w:pPr>
              <w:pStyle w:val="style0"/>
              <w:spacing w:line="276" w:lineRule="atLeast"/>
            </w:pPr>
            <w:r>
              <w:rPr/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479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r>
              <w:rPr>
                <w:sz w:val="20"/>
                <w:szCs w:val="20"/>
                <w:lang w:eastAsia="zh-CN"/>
              </w:rPr>
              <w:t xml:space="preserve">Воронежская область, Верхнехавский район, село Правая Хава, ул.Леваневского, 23 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986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r>
              <w:rPr>
                <w:sz w:val="20"/>
                <w:szCs w:val="20"/>
                <w:lang w:eastAsia="zh-CN"/>
              </w:rPr>
              <w:t xml:space="preserve">Якунина Зинаида Петровна 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020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r>
              <w:rPr>
                <w:sz w:val="20"/>
                <w:szCs w:val="20"/>
                <w:lang w:eastAsia="zh-CN"/>
              </w:rPr>
              <w:t>8 920-434-24-08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920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hyperlink r:id="rId8">
              <w:r>
                <w:rPr>
                  <w:color w:val="00000A"/>
                  <w:sz w:val="22"/>
                  <w:szCs w:val="22"/>
                  <w:rStyle w:val="style22"/>
                  <w:lang w:val="en-US"/>
                </w:rPr>
                <w:t>yakunina</w:t>
              </w:r>
            </w:hyperlink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zina</w:t>
            </w:r>
            <w:r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864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r>
              <w:rPr>
                <w:sz w:val="20"/>
                <w:szCs w:val="20"/>
                <w:rFonts w:eastAsia="Times New Roman"/>
              </w:rPr>
              <w:t>http://sdkpravhav.ru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/>
            <w:tcW w:type="dxa" w:w="1206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spacing w:line="276" w:lineRule="atLeast"/>
            </w:pPr>
            <w:r>
              <w:rPr/>
            </w:r>
          </w:p>
        </w:tc>
      </w:tr>
    </w:tbl>
    <w:p>
      <w:pPr>
        <w:sectPr>
          <w:formProt w:val="off"/>
          <w:pgSz w:h="16837" w:w="11905"/>
          <w:textDirection w:val="lrTb"/>
          <w:pgNumType w:fmt="decimal"/>
          <w:type w:val="nextPage"/>
          <w:footerReference r:id="rId9" w:type="even"/>
          <w:footerReference r:id="rId10" w:type="default"/>
        </w:sectPr>
        <w:pStyle w:val="style0"/>
      </w:pPr>
      <w:r>
        <w:rPr/>
      </w:r>
    </w:p>
    <w:p>
      <w:pPr>
        <w:pStyle w:val="style0"/>
        <w:jc w:val="center"/>
        <w:pageBreakBefore/>
      </w:pPr>
      <w:r>
        <w:rPr>
          <w:sz w:val="22"/>
          <w:b/>
          <w:szCs w:val="22"/>
          <w:rFonts w:eastAsia="Times New Roman"/>
          <w:lang w:eastAsia="zh-CN"/>
        </w:rPr>
        <w:t>АКТ</w:t>
      </w:r>
    </w:p>
    <w:p>
      <w:pPr>
        <w:pStyle w:val="style0"/>
        <w:jc w:val="center"/>
      </w:pPr>
      <w:r>
        <w:rPr>
          <w:sz w:val="22"/>
          <w:b/>
          <w:szCs w:val="22"/>
          <w:rFonts w:eastAsia="Times New Roman"/>
          <w:lang w:eastAsia="zh-CN"/>
        </w:rPr>
        <w:t>СДАЧИ-ПРИЕМКИ ОКАЗАННОЙ УСЛУГИ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  <w:ind w:firstLine="708" w:left="0" w:right="0"/>
      </w:pPr>
      <w:r>
        <w:rPr>
          <w:sz w:val="22"/>
          <w:szCs w:val="22"/>
          <w:rFonts w:eastAsia="Times New Roman"/>
          <w:lang w:eastAsia="zh-CN"/>
        </w:rPr>
        <w:t xml:space="preserve">с. Правая Хава     </w:t>
        <w:tab/>
        <w:tab/>
        <w:t xml:space="preserve">         </w:t>
        <w:tab/>
        <w:tab/>
        <w:t xml:space="preserve">                  «___» _________ 2019 г.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 xml:space="preserve">Администрация  Правохавского </w:t>
      </w:r>
      <w:bookmarkStart w:id="15" w:name="_GoBack"/>
      <w:bookmarkEnd w:id="15"/>
      <w:r>
        <w:rPr>
          <w:sz w:val="22"/>
          <w:szCs w:val="22"/>
          <w:rFonts w:eastAsia="Times New Roman"/>
          <w:lang w:eastAsia="zh-CN"/>
        </w:rPr>
        <w:t xml:space="preserve">сельского поселения Верхнехавского муниципального района Воронежской области, именуемое в дальнейшем «Заказчик», в лице </w:t>
      </w:r>
      <w:r>
        <w:rPr>
          <w:sz w:val="24"/>
          <w:szCs w:val="22"/>
          <w:rFonts w:eastAsia="Times New Roman"/>
          <w:lang w:eastAsia="zh-CN"/>
        </w:rPr>
        <w:t>главы администрации Правохавского сельского поселения</w:t>
      </w:r>
      <w:r>
        <w:rPr>
          <w:sz w:val="22"/>
          <w:szCs w:val="22"/>
          <w:rFonts w:eastAsia="Times New Roman"/>
          <w:lang w:eastAsia="zh-CN"/>
        </w:rPr>
        <w:t xml:space="preserve"> Дудченко Андрея Петровича, действующего на основании Устава,  с одной стороны, и </w:t>
      </w:r>
      <w:r>
        <w:rPr>
          <w:color w:val="000000"/>
          <w:sz w:val="24"/>
        </w:rPr>
        <w:t xml:space="preserve">Общество с ограниченной ответственностью «Лаборатория диагностики и развития социальных систем», именуемое в дальнейшем «Исполнитель», в лице генерального директора Барсуковой Диляры Фаргатовны, действующей на основании Устава, </w:t>
      </w:r>
      <w:r>
        <w:rPr>
          <w:sz w:val="22"/>
          <w:szCs w:val="22"/>
          <w:rFonts w:eastAsia="Times New Roman"/>
          <w:lang w:eastAsia="zh-CN"/>
        </w:rPr>
        <w:t>составили настоящий акт о нижеследующем: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1. В соответствии с муниципальным контрактом от «____» _______________ 2019 г. №____ исполнитель оказал услугу по сбору и обобщению информации для проведения независимой оценки качества условий оказания услуг в муниципальном казенном учреждении культуры «Правохавский сельский Дом культуры».</w:t>
      </w:r>
      <w:r>
        <w:rPr>
          <w:sz w:val="22"/>
          <w:b/>
          <w:szCs w:val="22"/>
          <w:rFonts w:eastAsia="Times New Roman"/>
          <w:lang w:eastAsia="zh-CN"/>
        </w:rPr>
        <w:t xml:space="preserve"> 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 xml:space="preserve">2. Качество оказанной услуги соответствует требованиям муниципального контракта. Заказчик каких-либо отклонений от условий муниципального контракта или других недостатков в оказанных исполнителем услугах не обнаружил. 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3. Экспертиза оказанной услуги на предмет соответствия требованиям и условиям муниципального контракта  от «___» _______ 2019 г.  №_________  проведена__________________________.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4. Недостатки (не выявлены): _____________.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5. Сумма, подлежащая оплате в соответствии с условиями заключенного договора: 2800 (две тысячи восемьсот) рублей 00 копеек, в том числе без НДС.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Размер неустойки (штрафа, пени), подлежащий взысканию: ________________________;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 xml:space="preserve">Основания применения и порядок расчета неустойки (штрафа, пени) ______________________________________________________________; 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Итоговая сумма, подлежащая оплате исполнителю по договору: 2800 (две тысячи восемьсот) рублей 00 копеек.</w:t>
      </w:r>
    </w:p>
    <w:p>
      <w:pPr>
        <w:pStyle w:val="style0"/>
        <w:jc w:val="both"/>
        <w:ind w:firstLine="709" w:left="0" w:right="0"/>
      </w:pPr>
      <w:r>
        <w:rPr>
          <w:sz w:val="22"/>
          <w:szCs w:val="22"/>
          <w:rFonts w:eastAsia="Times New Roman"/>
          <w:lang w:eastAsia="zh-CN"/>
        </w:rPr>
        <w:t>6. Настоящий акт составлен в двух экземплярах, по одному для каждой из сторон.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  <w:drawing>
          <wp:inline distB="0" distL="0" distR="0" distT="0">
            <wp:extent cx="1885315" cy="163766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Borders/>
        <w:jc w:val="left"/>
        <w:tblInd w:type="dxa" w:w="-334"/>
      </w:tblPr>
      <w:tblGrid>
        <w:gridCol w:w="5020"/>
        <w:gridCol w:w="4329"/>
      </w:tblGrid>
      <w:tr>
        <w:trPr>
          <w:cantSplit w:val="off"/>
        </w:trPr>
        <w:tc>
          <w:tcPr>
            <w:tcBorders/>
            <w:shd w:fill="FFFFFF"/>
            <w:tcW w:type="dxa" w:w="5020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</w:pPr>
            <w:r>
              <w:rPr>
                <w:sz w:val="22"/>
                <w:b/>
                <w:szCs w:val="22"/>
                <w:rFonts w:eastAsia="Times New Roman"/>
                <w:lang w:eastAsia="zh-CN"/>
              </w:rPr>
              <w:t>ИСПОЛНИТЕЛЬ</w:t>
            </w:r>
          </w:p>
        </w:tc>
        <w:tc>
          <w:tcPr>
            <w:tcBorders/>
            <w:shd w:fill="FFFFFF"/>
            <w:tcW w:type="dxa" w:w="4329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</w:pPr>
            <w:r>
              <w:rPr>
                <w:sz w:val="22"/>
                <w:b/>
                <w:szCs w:val="22"/>
                <w:rFonts w:eastAsia="Times New Roman"/>
                <w:lang w:eastAsia="zh-CN"/>
              </w:rPr>
              <w:t>ЗАКАЗЧИК</w:t>
            </w:r>
          </w:p>
        </w:tc>
      </w:tr>
      <w:tr>
        <w:trPr>
          <w:cantSplit w:val="off"/>
        </w:trPr>
        <w:tc>
          <w:tcPr>
            <w:tcBorders/>
            <w:shd w:fill="FFFFFF"/>
            <w:tcW w:type="dxa" w:w="5020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  <w:jc w:val="center"/>
            </w:pPr>
            <w:r>
              <w:rPr/>
            </w:r>
          </w:p>
          <w:p>
            <w:pPr>
              <w:pStyle w:val="style0"/>
            </w:pPr>
            <w:r>
              <w:rPr>
                <w:sz w:val="24"/>
              </w:rPr>
              <w:t>Генеральный директор</w:t>
            </w:r>
          </w:p>
          <w:p>
            <w:pPr>
              <w:pStyle w:val="style0"/>
            </w:pPr>
            <w:r>
              <w:rPr>
                <w:sz w:val="24"/>
              </w:rPr>
            </w:r>
          </w:p>
          <w:p>
            <w:pPr>
              <w:pStyle w:val="style0"/>
            </w:pPr>
            <w:r>
              <w:rPr>
                <w:sz w:val="24"/>
              </w:rPr>
              <w:t>_____________ Д.Ф. Барсукова</w:t>
            </w:r>
          </w:p>
          <w:p>
            <w:pPr>
              <w:pStyle w:val="style0"/>
              <w:jc w:val="center"/>
            </w:pPr>
            <w:r>
              <w:rPr>
                <w:sz w:val="22"/>
                <w:szCs w:val="22"/>
                <w:rFonts w:eastAsia="Times New Roman"/>
                <w:lang w:eastAsia="zh-CN"/>
              </w:rPr>
              <w:t>/                        /</w:t>
            </w:r>
          </w:p>
          <w:p>
            <w:pPr>
              <w:pStyle w:val="style0"/>
              <w:jc w:val="center"/>
            </w:pPr>
            <w:r>
              <w:rPr>
                <w:sz w:val="22"/>
                <w:szCs w:val="22"/>
                <w:rFonts w:eastAsia="Times New Roman"/>
                <w:lang w:eastAsia="zh-CN"/>
              </w:rPr>
              <w:t>«___» ________ 2019 г.</w:t>
            </w:r>
          </w:p>
          <w:p>
            <w:pPr>
              <w:pStyle w:val="style0"/>
              <w:jc w:val="center"/>
            </w:pPr>
            <w:r>
              <w:rPr>
                <w:sz w:val="22"/>
                <w:szCs w:val="22"/>
                <w:rFonts w:eastAsia="Times New Roman"/>
                <w:lang w:eastAsia="zh-CN"/>
              </w:rPr>
              <w:t>м.п.</w:t>
            </w:r>
          </w:p>
        </w:tc>
        <w:tc>
          <w:tcPr>
            <w:tcBorders/>
            <w:shd w:fill="FFFFFF"/>
            <w:tcW w:type="dxa" w:w="4329"/>
            <w:tcMar>
              <w:top w:type="dxa" w:w="0"/>
              <w:left w:type="dxa" w:w="10"/>
              <w:bottom w:type="dxa" w:w="0"/>
              <w:right w:type="dxa" w:w="10"/>
            </w:tcMar>
          </w:tcPr>
          <w:p>
            <w:pPr>
              <w:pStyle w:val="style0"/>
            </w:pPr>
            <w:r>
              <w:rPr>
                <w:sz w:val="22"/>
                <w:szCs w:val="22"/>
                <w:bCs/>
              </w:rPr>
              <w:t>Глава администрации Правохавского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сельского поселения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Верхнехавского муниципального района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Воронежской области</w:t>
            </w:r>
          </w:p>
          <w:p>
            <w:pPr>
              <w:pStyle w:val="style0"/>
            </w:pPr>
            <w:r>
              <w:rPr>
                <w:sz w:val="22"/>
                <w:szCs w:val="22"/>
                <w:bCs/>
              </w:rPr>
              <w:t>_________________А.П. Дудченко</w:t>
            </w:r>
          </w:p>
          <w:p>
            <w:pPr>
              <w:pStyle w:val="style0"/>
              <w:jc w:val="center"/>
              <w:tabs>
                <w:tab w:leader="none" w:pos="5040" w:val="left"/>
              </w:tabs>
              <w:ind w:hanging="0" w:left="0" w:right="10"/>
            </w:pPr>
            <w:r>
              <w:rPr>
                <w:sz w:val="22"/>
                <w:szCs w:val="22"/>
                <w:bCs/>
                <w:rFonts w:eastAsia="Times New Roman"/>
                <w:lang w:eastAsia="zh-CN"/>
              </w:rPr>
              <w:t>М.П.</w:t>
            </w:r>
          </w:p>
        </w:tc>
      </w:tr>
    </w:tbl>
    <w:p>
      <w:pPr>
        <w:pStyle w:val="style0"/>
        <w:jc w:val="center"/>
        <w:ind w:hanging="0" w:left="-567" w:right="0"/>
      </w:pPr>
      <w:r>
        <w:rPr/>
      </w:r>
    </w:p>
    <w:p>
      <w:pPr>
        <w:pStyle w:val="style0"/>
        <w:spacing w:after="200" w:before="0"/>
      </w:pPr>
      <w:r>
        <w:rPr/>
      </w:r>
    </w:p>
    <w:p>
      <w:pPr>
        <w:pStyle w:val="style0"/>
        <w:jc w:val="both"/>
        <w:tabs>
          <w:tab w:leader="none" w:pos="709" w:val="left"/>
          <w:tab w:leader="none" w:pos="1485" w:val="left"/>
        </w:tabs>
        <w:spacing w:after="200" w:before="0" w:line="276" w:lineRule="atLeast"/>
      </w:pPr>
      <w:r>
        <w:rPr/>
      </w:r>
    </w:p>
    <w:sectPr>
      <w:formProt w:val="off"/>
      <w:pgSz w:h="16837" w:w="11905"/>
      <w:textDirection w:val="lrTb"/>
      <w:pgNumType w:fmt="decimal"/>
      <w:type w:val="nextPage"/>
      <w:footerReference r:id="rId12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auto"/>
    <w:pitch w:val="default"/>
  </w:font>
</w:fonts>
</file>

<file path=word/footer1.xml><?xml version="1.0" encoding="utf-8"?>
<w:ftr xmlns:w="http://schemas.openxmlformats.org/wordprocessingml/2006/main">
  <w:p>
    <w:pPr>
      <w:pStyle w:val="style0"/>
    </w:pPr>
    <w:r>
      <w:rPr/>
    </w:r>
  </w:p>
</w:ftr>
</file>

<file path=word/footer2.xml><?xml version="1.0" encoding="utf-8"?>
<w:ftr xmlns:w="http://schemas.openxmlformats.org/wordprocessingml/2006/main">
  <w:p>
    <w:pPr>
      <w:pStyle w:val="style0"/>
    </w:pPr>
    <w:r>
      <w:rPr/>
    </w:r>
  </w:p>
</w:ftr>
</file>

<file path=word/footer3.xml><?xml version="1.0" encoding="utf-8"?>
<w:ftr xmlns:w="http://schemas.openxmlformats.org/wordprocessingml/2006/main">
  <w:p>
    <w:pPr>
      <w:pStyle w:val="style37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Jc w:val="left"/>
      <w:lvlText w:val="%1"/>
      <w:pPr>
        <w:ind w:hanging="432" w:left="432"/>
      </w:pPr>
    </w:lvl>
    <w:lvl w:ilvl="1">
      <w:start w:val="1"/>
      <w:numFmt w:val="decimal"/>
      <w:lvlJc w:val="left"/>
      <w:lvlText w:val="%2"/>
      <w:pPr>
        <w:ind w:hanging="576" w:left="576"/>
      </w:pPr>
    </w:lvl>
    <w:lvl w:ilvl="2">
      <w:start w:val="1"/>
      <w:numFmt w:val="decimal"/>
      <w:lvlJc w:val="left"/>
      <w:lvlText w:val="%3"/>
      <w:pPr>
        <w:ind w:hanging="720" w:left="720"/>
      </w:pPr>
    </w:lvl>
    <w:lvl w:ilvl="3">
      <w:start w:val="1"/>
      <w:numFmt w:val="decimal"/>
      <w:lvlJc w:val="left"/>
      <w:lvlText w:val="%4"/>
      <w:pPr>
        <w:ind w:hanging="864" w:left="864"/>
      </w:pPr>
    </w:lvl>
    <w:lvl w:ilvl="4">
      <w:start w:val="1"/>
      <w:numFmt w:val="decimal"/>
      <w:lvlJc w:val="left"/>
      <w:lvlText w:val="%5"/>
      <w:pPr>
        <w:ind w:hanging="1008" w:left="1008"/>
      </w:pPr>
    </w:lvl>
    <w:lvl w:ilvl="5">
      <w:start w:val="1"/>
      <w:numFmt w:val="decimal"/>
      <w:lvlJc w:val="left"/>
      <w:lvlText w:val="%6"/>
      <w:pPr>
        <w:ind w:hanging="1152" w:left="1152"/>
      </w:pPr>
    </w:lvl>
    <w:lvl w:ilvl="6">
      <w:start w:val="1"/>
      <w:numFmt w:val="decimal"/>
      <w:lvlJc w:val="left"/>
      <w:lvlText w:val="%7"/>
      <w:pPr>
        <w:ind w:hanging="1296" w:left="1296"/>
      </w:pPr>
    </w:lvl>
    <w:lvl w:ilvl="7">
      <w:start w:val="1"/>
      <w:numFmt w:val="decimal"/>
      <w:lvlJc w:val="left"/>
      <w:lvlText w:val="%8"/>
      <w:pPr>
        <w:ind w:hanging="1440" w:left="1440"/>
      </w:pPr>
    </w:lvl>
    <w:lvl w:ilvl="8">
      <w:start w:val="1"/>
      <w:numFmt w:val="decimal"/>
      <w:lvlJc w:val="left"/>
      <w:lvlText w:val="%9"/>
      <w:pPr>
        <w:ind w:hanging="1584" w:left="1584"/>
      </w:pPr>
    </w:lvl>
  </w:abstractNum>
  <w:abstractNum w:abstractNumId="2">
    <w:lvl w:ilvl="0">
      <w:start w:val="6"/>
      <w:numFmt w:val="decimal"/>
      <w:lvlJc w:val="left"/>
      <w:lvlText w:val="%1."/>
      <w:pPr>
        <w:ind w:hanging="360" w:left="720"/>
      </w:pPr>
    </w:lvl>
    <w:lvl w:ilvl="1">
      <w:start w:val="4"/>
      <w:numFmt w:val="decimal"/>
      <w:lvlJc w:val="left"/>
      <w:lvlText w:val="%1.%2."/>
      <w:pPr>
        <w:ind w:hanging="360" w:left="1080"/>
      </w:pPr>
    </w:lvl>
    <w:lvl w:ilvl="2">
      <w:start w:val="3"/>
      <w:numFmt w:val="decimal"/>
      <w:lvlJc w:val="left"/>
      <w:lvlText w:val="%1.%2.%3."/>
      <w:pPr>
        <w:ind w:hanging="360" w:left="1440"/>
      </w:pPr>
    </w:lvl>
    <w:lvl w:ilvl="3">
      <w:start w:val="1"/>
      <w:numFmt w:val="decimal"/>
      <w:lvlJc w:val="left"/>
      <w:lvlText w:val="%1.%2.%3.%4."/>
      <w:pPr>
        <w:ind w:hanging="360" w:left="1800"/>
      </w:pPr>
    </w:lvl>
    <w:lvl w:ilvl="4">
      <w:start w:val="1"/>
      <w:numFmt w:val="decimal"/>
      <w:lvlJc w:val="left"/>
      <w:lvlText w:val="%1.%2.%3.%4.%5."/>
      <w:pPr>
        <w:ind w:hanging="360" w:left="2160"/>
      </w:pPr>
    </w:lvl>
    <w:lvl w:ilvl="5">
      <w:start w:val="1"/>
      <w:numFmt w:val="decimal"/>
      <w:lvlJc w:val="left"/>
      <w:lvlText w:val="%1.%2.%3.%4.%5.%6."/>
      <w:pPr>
        <w:ind w:hanging="360" w:left="2520"/>
      </w:pPr>
    </w:lvl>
    <w:lvl w:ilvl="6">
      <w:start w:val="1"/>
      <w:numFmt w:val="decimal"/>
      <w:lvlJc w:val="left"/>
      <w:lvlText w:val="%1.%2.%3.%4.%5.%6.%7."/>
      <w:pPr>
        <w:ind w:hanging="360" w:left="2880"/>
      </w:pPr>
    </w:lvl>
    <w:lvl w:ilvl="7">
      <w:start w:val="1"/>
      <w:numFmt w:val="decimal"/>
      <w:lvlJc w:val="left"/>
      <w:lvlText w:val="%1.%2.%3.%4.%5.%6.%7.%8."/>
      <w:pPr>
        <w:ind w:hanging="360" w:left="3240"/>
      </w:pPr>
    </w:lvl>
    <w:lvl w:ilvl="8">
      <w:start w:val="1"/>
      <w:numFmt w:val="decimal"/>
      <w:lvlJc w:val="left"/>
      <w:lvlText w:val="%1.%2.%3.%4.%5.%6.%7.%8.%9."/>
      <w:pPr>
        <w:ind w:hanging="360" w:left="3600"/>
      </w:pPr>
    </w:lvl>
  </w:abstractNum>
  <w:abstractNum w:abstractNumId="3">
    <w:lvl w:ilvl="0">
      <w:start w:val="1"/>
      <w:numFmt w:val="decimal"/>
      <w:lvlJc w:val="left"/>
      <w:lvlText w:val="%1."/>
      <w:pPr>
        <w:ind w:hanging="705" w:left="1065"/>
      </w:pPr>
    </w:lvl>
    <w:lvl w:ilvl="1">
      <w:start w:val="1"/>
      <w:numFmt w:val="lowerLetter"/>
      <w:lvlJc w:val="left"/>
      <w:lvlText w:val="%2."/>
      <w:pPr>
        <w:ind w:hanging="360" w:left="1440"/>
      </w:pPr>
    </w:lvl>
    <w:lvl w:ilvl="2">
      <w:start w:val="1"/>
      <w:numFmt w:val="lowerRoman"/>
      <w:lvlJc w:val="right"/>
      <w:lvlText w:val="%3."/>
      <w:pPr>
        <w:ind w:hanging="180" w:left="2160"/>
      </w:pPr>
    </w:lvl>
    <w:lvl w:ilvl="3">
      <w:start w:val="1"/>
      <w:numFmt w:val="decimal"/>
      <w:lvlJc w:val="left"/>
      <w:lvlText w:val="%4."/>
      <w:pPr>
        <w:ind w:hanging="360" w:left="2880"/>
      </w:pPr>
    </w:lvl>
    <w:lvl w:ilvl="4">
      <w:start w:val="1"/>
      <w:numFmt w:val="lowerLetter"/>
      <w:lvlJc w:val="left"/>
      <w:lvlText w:val="%5."/>
      <w:pPr>
        <w:ind w:hanging="360" w:left="3600"/>
      </w:pPr>
    </w:lvl>
    <w:lvl w:ilvl="5">
      <w:start w:val="1"/>
      <w:numFmt w:val="lowerRoman"/>
      <w:lvlJc w:val="right"/>
      <w:lvlText w:val="%6."/>
      <w:pPr>
        <w:ind w:hanging="180" w:left="4320"/>
      </w:pPr>
    </w:lvl>
    <w:lvl w:ilvl="6">
      <w:start w:val="1"/>
      <w:numFmt w:val="decimal"/>
      <w:lvlJc w:val="left"/>
      <w:lvlText w:val="%7."/>
      <w:pPr>
        <w:ind w:hanging="360" w:left="5040"/>
      </w:pPr>
    </w:lvl>
    <w:lvl w:ilvl="7">
      <w:start w:val="1"/>
      <w:numFmt w:val="lowerLetter"/>
      <w:lvlJc w:val="left"/>
      <w:lvlText w:val="%8."/>
      <w:pPr>
        <w:ind w:hanging="360" w:left="5760"/>
      </w:pPr>
    </w:lvl>
    <w:lvl w:ilvl="8">
      <w:start w:val="1"/>
      <w:numFmt w:val="lowerRoman"/>
      <w:lvlJc w:val="right"/>
      <w:lvlText w:val="%9."/>
      <w:pPr>
        <w:ind w:hanging="180" w:left="6480"/>
      </w:pPr>
    </w:lvl>
  </w:abstractNum>
  <w:abstractNum w:abstractNumId="4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1.%2."/>
      <w:pPr>
        <w:ind w:hanging="360" w:left="720"/>
      </w:pPr>
      <w:rPr>
        <w:b/>
      </w:rPr>
    </w:lvl>
    <w:lvl w:ilvl="2">
      <w:start w:val="1"/>
      <w:numFmt w:val="decimal"/>
      <w:lvlJc w:val="left"/>
      <w:lvlText w:val="%1.%2.%3."/>
      <w:pPr>
        <w:ind w:hanging="720" w:left="1080"/>
      </w:pPr>
    </w:lvl>
    <w:lvl w:ilvl="3">
      <w:start w:val="1"/>
      <w:numFmt w:val="decimal"/>
      <w:lvlJc w:val="left"/>
      <w:lvlText w:val="%1.%2.%3.%4."/>
      <w:pPr>
        <w:ind w:hanging="720" w:left="1080"/>
      </w:pPr>
    </w:lvl>
    <w:lvl w:ilvl="4">
      <w:start w:val="1"/>
      <w:numFmt w:val="decimal"/>
      <w:lvlJc w:val="left"/>
      <w:lvlText w:val="%1.%2.%3.%4.%5."/>
      <w:pPr>
        <w:ind w:hanging="1080" w:left="1440"/>
      </w:pPr>
    </w:lvl>
    <w:lvl w:ilvl="5">
      <w:start w:val="1"/>
      <w:numFmt w:val="decimal"/>
      <w:lvlJc w:val="left"/>
      <w:lvlText w:val="%1.%2.%3.%4.%5.%6."/>
      <w:pPr>
        <w:ind w:hanging="1080" w:left="1440"/>
      </w:pPr>
    </w:lvl>
    <w:lvl w:ilvl="6">
      <w:start w:val="1"/>
      <w:numFmt w:val="decimal"/>
      <w:lvlJc w:val="left"/>
      <w:lvlText w:val="%1.%2.%3.%4.%5.%6.%7."/>
      <w:pPr>
        <w:ind w:hanging="1440" w:left="1800"/>
      </w:pPr>
    </w:lvl>
    <w:lvl w:ilvl="7">
      <w:start w:val="1"/>
      <w:numFmt w:val="decimal"/>
      <w:lvlJc w:val="left"/>
      <w:lvlText w:val="%1.%2.%3.%4.%5.%6.%7.%8."/>
      <w:pPr>
        <w:ind w:hanging="1440" w:left="1800"/>
      </w:pPr>
    </w:lvl>
    <w:lvl w:ilvl="8">
      <w:start w:val="1"/>
      <w:numFmt w:val="decimal"/>
      <w:lvlJc w:val="left"/>
      <w:lvlText w:val="%1.%2.%3.%4.%5.%6.%7.%8.%9."/>
      <w:pPr>
        <w:ind w:hanging="1800" w:left="21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0" w:before="0" w:line="200" w:lineRule="atLeast"/>
    </w:pPr>
    <w:rPr>
      <w:color w:val="00000A"/>
      <w:sz w:val="28"/>
      <w:szCs w:val="24"/>
      <w:rFonts w:ascii="Times New Roman" w:cs="Times New Roman" w:eastAsia="Calibri" w:hAnsi="Times New Roman"/>
      <w:lang w:bidi="ar-SA" w:eastAsia="ru-RU" w:val="ru-RU"/>
    </w:rPr>
  </w:style>
  <w:style w:styleId="style1" w:type="paragraph">
    <w:name w:val="Заголовок 1"/>
    <w:basedOn w:val="style0"/>
    <w:next w:val="style24"/>
    <w:pPr>
      <w:keepNext/>
      <w:spacing w:after="60" w:before="240"/>
    </w:pPr>
    <w:rPr>
      <w:sz w:val="32"/>
      <w:b/>
      <w:szCs w:val="32"/>
      <w:bCs/>
      <w:rFonts w:ascii="Cambria" w:eastAsia="Times New Roman" w:hAnsi="Cambria"/>
    </w:rPr>
  </w:style>
  <w:style w:styleId="style3" w:type="paragraph">
    <w:name w:val="Заголовок 3"/>
    <w:basedOn w:val="style0"/>
    <w:next w:val="style24"/>
    <w:pPr>
      <w:outlineLvl w:val="2"/>
      <w:numPr>
        <w:ilvl w:val="2"/>
        <w:numId w:val="1"/>
      </w:numPr>
      <w:keepNext/>
      <w:spacing w:after="60" w:before="240"/>
    </w:pPr>
    <w:rPr>
      <w:sz w:val="26"/>
      <w:b/>
      <w:szCs w:val="26"/>
      <w:bCs/>
      <w:rFonts w:ascii="Arial" w:cs="Arial" w:eastAsia="Arial Unicode MS" w:hAnsi="Arial"/>
    </w:rPr>
  </w:style>
  <w:style w:styleId="style15" w:type="character">
    <w:name w:val="ListLabel 1"/>
    <w:next w:val="style15"/>
    <w:rPr>
      <w:b/>
    </w:rPr>
  </w:style>
  <w:style w:styleId="style16" w:type="character">
    <w:name w:val="Default Paragraph Font"/>
    <w:next w:val="style16"/>
    <w:rPr/>
  </w:style>
  <w:style w:styleId="style17" w:type="character">
    <w:name w:val="Текст выноски Знак"/>
    <w:next w:val="style17"/>
    <w:rPr/>
  </w:style>
  <w:style w:styleId="style18" w:type="character">
    <w:name w:val="Заголовок 3 Знак"/>
    <w:next w:val="style18"/>
    <w:rPr/>
  </w:style>
  <w:style w:styleId="style19" w:type="character">
    <w:name w:val="Схема документа Знак"/>
    <w:next w:val="style19"/>
    <w:rPr/>
  </w:style>
  <w:style w:styleId="style20" w:type="character">
    <w:name w:val="Заголовок 1 Знак"/>
    <w:next w:val="style20"/>
    <w:rPr/>
  </w:style>
  <w:style w:styleId="style21" w:type="character">
    <w:name w:val="val"/>
    <w:basedOn w:val="style16"/>
    <w:next w:val="style21"/>
    <w:rPr/>
  </w:style>
  <w:style w:styleId="style22" w:type="character">
    <w:name w:val="Интернет-ссылка"/>
    <w:next w:val="style22"/>
    <w:rPr>
      <w:color w:val="0000FF"/>
      <w:u w:val="single"/>
      <w:lang w:bidi="ru-RU" w:eastAsia="ru-RU" w:val="ru-RU"/>
    </w:rPr>
  </w:style>
  <w:style w:styleId="style23" w:type="paragraph">
    <w:name w:val="Заголовок"/>
    <w:basedOn w:val="style0"/>
    <w:next w:val="style24"/>
    <w:pPr>
      <w:keepNext/>
      <w:suppressLineNumbers/>
      <w:spacing w:after="120" w:before="120"/>
    </w:pPr>
    <w:rPr>
      <w:sz w:val="20"/>
      <w:i/>
      <w:szCs w:val="28"/>
      <w:iCs/>
      <w:rFonts w:ascii="Arial" w:cs="Tahoma" w:eastAsia="Lucida Sans Unicode" w:hAnsi="Arial"/>
    </w:rPr>
  </w:style>
  <w:style w:styleId="style24" w:type="paragraph">
    <w:name w:val="Основной текст"/>
    <w:basedOn w:val="style0"/>
    <w:next w:val="style24"/>
    <w:pPr>
      <w:spacing w:after="120" w:before="0"/>
    </w:pPr>
    <w:rPr/>
  </w:style>
  <w:style w:styleId="style25" w:type="paragraph">
    <w:name w:val="Список"/>
    <w:basedOn w:val="style24"/>
    <w:next w:val="style25"/>
    <w:pPr/>
    <w:rPr>
      <w:rFonts w:ascii="Arial" w:cs="Tahoma" w:hAnsi="Arial"/>
    </w:rPr>
  </w:style>
  <w:style w:styleId="style26" w:type="paragraph">
    <w:name w:val="Название"/>
    <w:basedOn w:val="style0"/>
    <w:next w:val="style26"/>
    <w:pPr>
      <w:suppressLineNumbers/>
      <w:spacing w:after="120" w:before="120"/>
    </w:pPr>
    <w:rPr>
      <w:sz w:val="20"/>
      <w:i/>
      <w:szCs w:val="24"/>
      <w:iCs/>
      <w:rFonts w:ascii="Arial" w:cs="Tahoma" w:hAnsi="Arial"/>
    </w:rPr>
  </w:style>
  <w:style w:styleId="style27" w:type="paragraph">
    <w:name w:val="Указатель"/>
    <w:basedOn w:val="style0"/>
    <w:next w:val="style27"/>
    <w:pPr>
      <w:suppressLineNumbers/>
    </w:pPr>
    <w:rPr>
      <w:rFonts w:ascii="Arial" w:cs="Tahoma" w:hAnsi="Arial"/>
    </w:rPr>
  </w:style>
  <w:style w:styleId="style28" w:type="paragraph">
    <w:name w:val="index heading"/>
    <w:basedOn w:val="style0"/>
    <w:next w:val="style28"/>
    <w:pPr/>
    <w:rPr/>
  </w:style>
  <w:style w:styleId="style29" w:type="paragraph">
    <w:name w:val="ConsPlusNormal"/>
    <w:next w:val="style29"/>
    <w:pPr>
      <w:widowControl w:val="off"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Lucida Sans Unicode" w:hAnsi="Calibri"/>
      <w:lang w:bidi="ar-SA" w:eastAsia="ru-RU" w:val="ru-RU"/>
    </w:rPr>
  </w:style>
  <w:style w:styleId="style30" w:type="paragraph">
    <w:name w:val="ConsPlusNonformat"/>
    <w:next w:val="style30"/>
    <w:pPr>
      <w:widowControl w:val="off"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Lucida Sans Unicode" w:hAnsi="Calibri"/>
      <w:lang w:bidi="ar-SA" w:eastAsia="ru-RU" w:val="ru-RU"/>
    </w:rPr>
  </w:style>
  <w:style w:styleId="style31" w:type="paragraph">
    <w:name w:val="Balloon Text"/>
    <w:basedOn w:val="style0"/>
    <w:next w:val="style31"/>
    <w:pPr/>
    <w:rPr/>
  </w:style>
  <w:style w:styleId="style32" w:type="paragraph">
    <w:name w:val="ConsPlusCell"/>
    <w:next w:val="style32"/>
    <w:pPr>
      <w:widowControl w:val="off"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Lucida Sans Unicode" w:hAnsi="Calibri"/>
      <w:lang w:bidi="ar-SA" w:eastAsia="ru-RU" w:val="ru-RU"/>
    </w:rPr>
  </w:style>
  <w:style w:styleId="style33" w:type="paragraph">
    <w:name w:val="List Paragraph"/>
    <w:basedOn w:val="style0"/>
    <w:next w:val="style33"/>
    <w:pPr/>
    <w:rPr/>
  </w:style>
  <w:style w:styleId="style34" w:type="paragraph">
    <w:name w:val="Основной текст с отступом 21"/>
    <w:basedOn w:val="style0"/>
    <w:next w:val="style34"/>
    <w:pPr/>
    <w:rPr/>
  </w:style>
  <w:style w:styleId="style35" w:type="paragraph">
    <w:name w:val="Document Map"/>
    <w:basedOn w:val="style0"/>
    <w:next w:val="style35"/>
    <w:pPr/>
    <w:rPr/>
  </w:style>
  <w:style w:styleId="style36" w:type="paragraph">
    <w:name w:val="Normal (Web)"/>
    <w:basedOn w:val="style0"/>
    <w:next w:val="style36"/>
    <w:pPr/>
    <w:rPr/>
  </w:style>
  <w:style w:styleId="style37" w:type="paragraph">
    <w:name w:val="Нижний колонтитул"/>
    <w:basedOn w:val="style0"/>
    <w:next w:val="style37"/>
    <w:pPr>
      <w:tabs>
        <w:tab w:leader="none" w:pos="4818" w:val="center"/>
        <w:tab w:leader="none" w:pos="9637" w:val="right"/>
      </w:tabs>
      <w:suppressLineNumbers/>
    </w:pPr>
    <w:rPr/>
  </w:style>
  <w:style w:styleId="style38" w:type="paragraph">
    <w:name w:val="No Spacing"/>
    <w:next w:val="style38"/>
    <w:pPr>
      <w:widowControl w:val="off"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Lucida Sans Unicode" w:hAnsi="Calibri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A34C144A7FAF0433CC209876F4DAF1E18EC543EAF8CD145995E5FF0A66y1sEF" TargetMode="External"/><Relationship Id="rId3" Type="http://schemas.openxmlformats.org/officeDocument/2006/relationships/hyperlink" Target="consultantplus://offline/ref=A34C144A7FAF0433CC209876F4DAF1E18EC241EFF8CD145995E5FF0A66y1sEF" TargetMode="External"/><Relationship Id="rId4" Type="http://schemas.openxmlformats.org/officeDocument/2006/relationships/hyperlink" Target="https://online.consultant.ru/riv/cgi/online.cgi?req=doc&amp;base=ROS&amp;n=227100&amp;rnd=286271.116486884&amp;dst=100012&amp;fld=134" TargetMode="External"/><Relationship Id="rId5" Type="http://schemas.openxmlformats.org/officeDocument/2006/relationships/hyperlink" Target="https://online.consultant.ru/riv/cgi/online.cgi?req=doc&amp;base=ROS&amp;n=227100&amp;rnd=286271.1484116664&amp;dst=100012&amp;fld=134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mailto:yakunina.zina@mail.ru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footer" Target="footer3.xml"/><Relationship Id="rId13" Type="http://schemas.openxmlformats.org/officeDocument/2006/relationships/numbering" Target="numbering.xml"/><Relationship Id="rId1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2019-09-16T13:56:00.00Z</dcterms:created>
  <dc:creator>BUX</dc:creator>
  <cp:lastModifiedBy>Service</cp:lastModifiedBy>
  <cp:lastPrinted>2019-10-10T08:15:16.00Z</cp:lastPrinted>
  <dcterms:modified xsi:type="dcterms:W3CDTF">2019-10-07T13:23:00.00Z</dcterms:modified>
  <cp:revision>14</cp:revision>
</cp:coreProperties>
</file>